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01F2F6D2" w:rsidR="3721CB8D" w:rsidRPr="0040533E" w:rsidRDefault="00770911"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40533E">
        <w:rPr>
          <w:rFonts w:ascii="Open Sans SemiBold" w:hAnsi="Open Sans SemiBold" w:cs="Open Sans SemiBold"/>
          <w:color w:val="004848"/>
        </w:rPr>
        <w:t xml:space="preserve"> Sediment </w:t>
      </w:r>
      <w:r>
        <w:rPr>
          <w:rFonts w:ascii="Open Sans SemiBold" w:hAnsi="Open Sans SemiBold" w:cs="Open Sans SemiBold"/>
          <w:color w:val="004848"/>
        </w:rPr>
        <w:t>and System Capacity</w:t>
      </w:r>
    </w:p>
    <w:p w14:paraId="3F0191E4" w14:textId="56308A08" w:rsidR="3EB168DF" w:rsidRPr="002B42CB" w:rsidRDefault="3EB168DF" w:rsidP="00E962EA">
      <w:pPr>
        <w:widowControl w:val="0"/>
        <w:spacing w:after="0" w:line="240" w:lineRule="auto"/>
      </w:pPr>
    </w:p>
    <w:p w14:paraId="08EDF8AE" w14:textId="18778761" w:rsidR="001D28DD" w:rsidRPr="0023029E" w:rsidRDefault="00320EFD"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40533E">
        <w:rPr>
          <w:rFonts w:ascii="Open Sans SemiBold" w:hAnsi="Open Sans SemiBold" w:cs="Open Sans SemiBold"/>
          <w:noProof/>
          <w:color w:val="004848"/>
        </w:rPr>
        <w:drawing>
          <wp:anchor distT="0" distB="0" distL="114300" distR="114300" simplePos="0" relativeHeight="251668480" behindDoc="0" locked="0" layoutInCell="1" allowOverlap="1" wp14:anchorId="3C470F33" wp14:editId="1B0D375A">
            <wp:simplePos x="0" y="0"/>
            <wp:positionH relativeFrom="column">
              <wp:posOffset>3589020</wp:posOffset>
            </wp:positionH>
            <wp:positionV relativeFrom="paragraph">
              <wp:posOffset>243205</wp:posOffset>
            </wp:positionV>
            <wp:extent cx="3063833" cy="1819395"/>
            <wp:effectExtent l="0" t="0" r="3810" b="0"/>
            <wp:wrapNone/>
            <wp:docPr id="56" name="Picture 56"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line graph with numb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833" cy="1819395"/>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022D3B">
        <w:rPr>
          <w:rFonts w:ascii="Open Sans SemiBold" w:hAnsi="Open Sans SemiBold" w:cs="Open Sans SemiBold"/>
          <w:sz w:val="28"/>
          <w:szCs w:val="28"/>
          <w:u w:val="single"/>
        </w:rPr>
        <w:t>Stressor</w:t>
      </w:r>
      <w:r w:rsidR="00D065C4" w:rsidRPr="00AA3B6D">
        <w:rPr>
          <w:rFonts w:cstheme="majorHAnsi"/>
          <w:b/>
          <w:bCs/>
          <w:u w:val="single"/>
        </w:rPr>
        <w:t>:</w:t>
      </w:r>
      <w:r w:rsidR="00D065C4" w:rsidRPr="00CE7299">
        <w:rPr>
          <w:rFonts w:ascii="Segoe UI" w:hAnsi="Segoe UI" w:cs="Segoe UI"/>
        </w:rPr>
        <w:t xml:space="preserve"> </w:t>
      </w:r>
      <w:r w:rsidR="00F1520C" w:rsidRPr="0023029E">
        <w:rPr>
          <w:rFonts w:ascii="Open Sans" w:eastAsiaTheme="minorEastAsia" w:hAnsi="Open Sans" w:cs="Open Sans"/>
          <w:color w:val="auto"/>
          <w:sz w:val="24"/>
          <w:szCs w:val="24"/>
        </w:rPr>
        <w:t>Sediment</w:t>
      </w:r>
      <w:r w:rsidR="006B1C4D" w:rsidRPr="0023029E">
        <w:rPr>
          <w:rFonts w:ascii="Open Sans" w:eastAsiaTheme="minorEastAsia" w:hAnsi="Open Sans" w:cs="Open Sans"/>
          <w:color w:val="auto"/>
          <w:sz w:val="24"/>
          <w:szCs w:val="24"/>
        </w:rPr>
        <w:t xml:space="preserve"> </w:t>
      </w:r>
      <w:r w:rsidR="008C3F01" w:rsidRPr="0023029E">
        <w:rPr>
          <w:rFonts w:ascii="Open Sans" w:eastAsiaTheme="minorEastAsia" w:hAnsi="Open Sans" w:cs="Open Sans"/>
          <w:color w:val="auto"/>
          <w:sz w:val="24"/>
          <w:szCs w:val="24"/>
        </w:rPr>
        <w:t xml:space="preserve">(increase </w:t>
      </w:r>
      <w:r w:rsidR="001D28DD" w:rsidRPr="0023029E">
        <w:rPr>
          <w:rFonts w:ascii="Open Sans" w:eastAsiaTheme="minorEastAsia" w:hAnsi="Open Sans" w:cs="Open Sans"/>
          <w:color w:val="auto"/>
          <w:sz w:val="24"/>
          <w:szCs w:val="24"/>
        </w:rPr>
        <w:t>in tonnes/ha/year</w:t>
      </w:r>
    </w:p>
    <w:p w14:paraId="0A738F01" w14:textId="16BA6CD6" w:rsidR="00EE401F" w:rsidRPr="0023029E" w:rsidRDefault="008C3F01" w:rsidP="001D28DD">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23029E">
        <w:rPr>
          <w:rFonts w:ascii="Open Sans" w:eastAsiaTheme="minorEastAsia" w:hAnsi="Open Sans" w:cs="Open Sans"/>
          <w:color w:val="auto"/>
          <w:sz w:val="24"/>
          <w:szCs w:val="24"/>
        </w:rPr>
        <w:t>from background)</w:t>
      </w:r>
    </w:p>
    <w:p w14:paraId="504D6B01" w14:textId="2A72B512" w:rsidR="00E962EA" w:rsidRPr="00E962EA" w:rsidRDefault="00E962EA" w:rsidP="00E962EA">
      <w:pPr>
        <w:spacing w:after="0" w:line="240" w:lineRule="auto"/>
        <w:ind w:left="1440" w:hanging="1440"/>
      </w:pPr>
    </w:p>
    <w:p w14:paraId="11860792" w14:textId="28BCA360" w:rsidR="00041823"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022D3B">
        <w:rPr>
          <w:rFonts w:ascii="Open Sans SemiBold" w:hAnsi="Open Sans SemiBold" w:cs="Open Sans SemiBold"/>
          <w:sz w:val="28"/>
          <w:szCs w:val="28"/>
          <w:u w:val="single"/>
        </w:rPr>
        <w:t>Response</w:t>
      </w:r>
      <w:r w:rsidRPr="00AA3B6D">
        <w:rPr>
          <w:rFonts w:cstheme="majorHAnsi"/>
          <w:b/>
          <w:bCs/>
          <w:u w:val="single"/>
        </w:rPr>
        <w:t>:</w:t>
      </w:r>
      <w:r w:rsidRPr="00AA3B6D">
        <w:rPr>
          <w:rFonts w:cstheme="majorHAnsi"/>
        </w:rPr>
        <w:t xml:space="preserve"> </w:t>
      </w:r>
      <w:r w:rsidR="00064DDD" w:rsidRPr="0023029E">
        <w:rPr>
          <w:rFonts w:ascii="Open Sans" w:eastAsiaTheme="minorEastAsia" w:hAnsi="Open Sans" w:cs="Open Sans"/>
          <w:color w:val="auto"/>
          <w:sz w:val="24"/>
          <w:szCs w:val="24"/>
        </w:rPr>
        <w:t>System Capacity (</w:t>
      </w:r>
      <w:r w:rsidR="00FB7841" w:rsidRPr="0023029E">
        <w:rPr>
          <w:rFonts w:ascii="Open Sans" w:eastAsiaTheme="minorEastAsia" w:hAnsi="Open Sans" w:cs="Open Sans"/>
          <w:color w:val="auto"/>
          <w:sz w:val="24"/>
          <w:szCs w:val="24"/>
        </w:rPr>
        <w:t>%)</w:t>
      </w:r>
    </w:p>
    <w:p w14:paraId="0705F895" w14:textId="77777777" w:rsidR="004136A4" w:rsidRDefault="004136A4" w:rsidP="004136A4"/>
    <w:p w14:paraId="37BFEB55" w14:textId="3F9B2E90" w:rsidR="006A0469" w:rsidRDefault="004136A4" w:rsidP="00022D3B">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Species</w:t>
      </w:r>
      <w:r w:rsidRPr="00AA3B6D">
        <w:rPr>
          <w:rFonts w:cstheme="majorHAnsi"/>
          <w:b/>
          <w:bCs/>
          <w:u w:val="single"/>
        </w:rPr>
        <w:t>:</w:t>
      </w:r>
      <w:r w:rsidRPr="00AA3B6D">
        <w:rPr>
          <w:rFonts w:cstheme="majorHAnsi"/>
        </w:rPr>
        <w:t xml:space="preserve"> </w:t>
      </w:r>
      <w:r w:rsidR="00A91FC4">
        <w:rPr>
          <w:rFonts w:ascii="Open Sans" w:eastAsiaTheme="minorEastAsia" w:hAnsi="Open Sans" w:cs="Open Sans"/>
          <w:color w:val="auto"/>
          <w:sz w:val="24"/>
          <w:szCs w:val="24"/>
        </w:rPr>
        <w:t>Westslope Cutthroat</w:t>
      </w:r>
      <w:r w:rsidRPr="0023029E">
        <w:rPr>
          <w:rFonts w:ascii="Open Sans" w:eastAsiaTheme="minorEastAsia" w:hAnsi="Open Sans" w:cs="Open Sans"/>
          <w:color w:val="auto"/>
          <w:sz w:val="24"/>
          <w:szCs w:val="24"/>
        </w:rPr>
        <w:t xml:space="preserve"> Trout</w:t>
      </w:r>
    </w:p>
    <w:p w14:paraId="18908B64" w14:textId="5C55589C" w:rsidR="004136A4" w:rsidRPr="00AA3B6D" w:rsidRDefault="004136A4" w:rsidP="006A0469">
      <w:pPr>
        <w:pStyle w:val="Heading1"/>
        <w:keepNext w:val="0"/>
        <w:keepLines w:val="0"/>
        <w:widowControl w:val="0"/>
        <w:spacing w:before="0" w:line="240" w:lineRule="auto"/>
        <w:ind w:left="1440"/>
        <w:rPr>
          <w:rFonts w:cstheme="majorHAnsi"/>
          <w:color w:val="auto"/>
          <w:sz w:val="25"/>
          <w:szCs w:val="25"/>
        </w:rPr>
      </w:pPr>
      <w:r w:rsidRPr="0023029E">
        <w:rPr>
          <w:rFonts w:ascii="Open Sans" w:eastAsiaTheme="minorEastAsia" w:hAnsi="Open Sans" w:cs="Open Sans"/>
          <w:color w:val="auto"/>
          <w:sz w:val="24"/>
          <w:szCs w:val="24"/>
        </w:rPr>
        <w:t xml:space="preserve"> (</w:t>
      </w:r>
      <w:r w:rsidR="006A0469">
        <w:rPr>
          <w:rFonts w:ascii="Open Sans" w:eastAsiaTheme="minorEastAsia" w:hAnsi="Open Sans" w:cs="Open Sans"/>
          <w:i/>
          <w:iCs/>
          <w:color w:val="auto"/>
          <w:sz w:val="24"/>
          <w:szCs w:val="24"/>
        </w:rPr>
        <w:t xml:space="preserve">Oncorhynchus </w:t>
      </w:r>
      <w:r w:rsidR="00A91FC4">
        <w:rPr>
          <w:rFonts w:ascii="Open Sans" w:eastAsiaTheme="minorEastAsia" w:hAnsi="Open Sans" w:cs="Open Sans"/>
          <w:i/>
          <w:iCs/>
          <w:color w:val="auto"/>
          <w:sz w:val="24"/>
          <w:szCs w:val="24"/>
        </w:rPr>
        <w:t>clarkii lewisi</w:t>
      </w:r>
      <w:r w:rsidRPr="0023029E">
        <w:rPr>
          <w:rFonts w:ascii="Open Sans" w:eastAsiaTheme="minorEastAsia" w:hAnsi="Open Sans" w:cs="Open Sans"/>
          <w:color w:val="auto"/>
          <w:sz w:val="24"/>
          <w:szCs w:val="24"/>
        </w:rPr>
        <w:t>)</w:t>
      </w:r>
    </w:p>
    <w:p w14:paraId="1EA0C41F" w14:textId="77777777" w:rsidR="004136A4" w:rsidRPr="004136A4" w:rsidRDefault="004136A4" w:rsidP="004136A4"/>
    <w:p w14:paraId="336FD5AA" w14:textId="7FB7D506"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022D3B">
        <w:rPr>
          <w:rFonts w:ascii="Open Sans SemiBold" w:hAnsi="Open Sans SemiBold" w:cs="Open Sans SemiBold"/>
          <w:sz w:val="28"/>
          <w:szCs w:val="28"/>
          <w:u w:val="single"/>
        </w:rPr>
        <w:t>Life Stage:</w:t>
      </w:r>
      <w:r w:rsidRPr="00AA3B6D">
        <w:rPr>
          <w:rFonts w:cstheme="majorHAnsi"/>
        </w:rPr>
        <w:t xml:space="preserve"> </w:t>
      </w:r>
      <w:r w:rsidR="00360F36" w:rsidRPr="0023029E">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022D3B">
        <w:rPr>
          <w:rFonts w:ascii="Open Sans SemiBold" w:hAnsi="Open Sans SemiBold" w:cs="Open Sans SemiBold"/>
          <w:sz w:val="28"/>
          <w:szCs w:val="28"/>
          <w:u w:val="single"/>
        </w:rPr>
        <w:t>System</w:t>
      </w:r>
      <w:r w:rsidR="00D065C4" w:rsidRPr="00022D3B">
        <w:rPr>
          <w:rFonts w:ascii="Open Sans SemiBold" w:hAnsi="Open Sans SemiBold" w:cs="Open Sans SemiBold"/>
          <w:sz w:val="28"/>
          <w:szCs w:val="28"/>
          <w:u w:val="single"/>
        </w:rPr>
        <w:t>:</w:t>
      </w:r>
      <w:r w:rsidR="00D065C4" w:rsidRPr="00AA3B6D">
        <w:rPr>
          <w:rFonts w:cstheme="majorHAnsi"/>
        </w:rPr>
        <w:t xml:space="preserve"> </w:t>
      </w:r>
      <w:r w:rsidR="004136A4" w:rsidRPr="0023029E">
        <w:rPr>
          <w:rFonts w:ascii="Open Sans" w:eastAsiaTheme="minorEastAsia" w:hAnsi="Open Sans" w:cs="Open Sans"/>
          <w:color w:val="auto"/>
          <w:sz w:val="24"/>
          <w:szCs w:val="24"/>
        </w:rPr>
        <w:t>A</w:t>
      </w:r>
      <w:r w:rsidR="00087B32" w:rsidRPr="0023029E">
        <w:rPr>
          <w:rFonts w:ascii="Open Sans" w:eastAsiaTheme="minorEastAsia" w:hAnsi="Open Sans" w:cs="Open Sans"/>
          <w:color w:val="auto"/>
          <w:sz w:val="24"/>
          <w:szCs w:val="24"/>
        </w:rPr>
        <w:t xml:space="preserve">lberta </w:t>
      </w:r>
      <w:r w:rsidR="004136A4" w:rsidRPr="0023029E">
        <w:rPr>
          <w:rFonts w:ascii="Open Sans" w:eastAsiaTheme="minorEastAsia" w:hAnsi="Open Sans" w:cs="Open Sans"/>
          <w:color w:val="auto"/>
          <w:sz w:val="24"/>
          <w:szCs w:val="24"/>
        </w:rPr>
        <w:t xml:space="preserve">foothills </w:t>
      </w:r>
      <w:r w:rsidR="000A4CAB" w:rsidRPr="0023029E">
        <w:rPr>
          <w:rFonts w:ascii="Open Sans" w:eastAsiaTheme="minorEastAsia" w:hAnsi="Open Sans" w:cs="Open Sans"/>
          <w:color w:val="auto"/>
          <w:sz w:val="24"/>
          <w:szCs w:val="24"/>
        </w:rPr>
        <w:t>watersheds</w:t>
      </w:r>
      <w:r w:rsidR="004136A4" w:rsidRPr="0023029E">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6946D473" w14:textId="77909BC4" w:rsidR="00164660" w:rsidRPr="003013BC" w:rsidRDefault="0D60F6D8" w:rsidP="00E962EA">
      <w:pPr>
        <w:pStyle w:val="Heading1"/>
        <w:keepNext w:val="0"/>
        <w:keepLines w:val="0"/>
        <w:widowControl w:val="0"/>
        <w:spacing w:before="0" w:line="240" w:lineRule="auto"/>
        <w:rPr>
          <w:rFonts w:eastAsiaTheme="minorEastAsia" w:cstheme="majorHAnsi"/>
          <w:color w:val="auto"/>
          <w:sz w:val="23"/>
          <w:szCs w:val="23"/>
        </w:rPr>
      </w:pPr>
      <w:r w:rsidRPr="00022D3B">
        <w:rPr>
          <w:rFonts w:ascii="Open Sans SemiBold" w:hAnsi="Open Sans SemiBold" w:cs="Open Sans SemiBold"/>
          <w:sz w:val="28"/>
          <w:szCs w:val="28"/>
          <w:u w:val="single"/>
        </w:rPr>
        <w:t>Function</w:t>
      </w:r>
      <w:r w:rsidR="5D2C5D7E" w:rsidRPr="00022D3B">
        <w:rPr>
          <w:rFonts w:ascii="Open Sans SemiBold" w:hAnsi="Open Sans SemiBold" w:cs="Open Sans SemiBold"/>
          <w:sz w:val="28"/>
          <w:szCs w:val="28"/>
          <w:u w:val="single"/>
        </w:rPr>
        <w:t xml:space="preserve"> Derivation</w:t>
      </w:r>
      <w:r w:rsidR="2AEA4719" w:rsidRPr="00022D3B">
        <w:rPr>
          <w:rFonts w:ascii="Open Sans SemiBold" w:hAnsi="Open Sans SemiBold" w:cs="Open Sans SemiBold"/>
          <w:sz w:val="28"/>
          <w:szCs w:val="28"/>
          <w:u w:val="single"/>
        </w:rPr>
        <w:t>:</w:t>
      </w:r>
      <w:r w:rsidR="2AEA4719" w:rsidRPr="003013BC">
        <w:rPr>
          <w:rFonts w:cstheme="majorHAnsi"/>
        </w:rPr>
        <w:t xml:space="preserve"> </w:t>
      </w:r>
      <w:r w:rsidR="000D648C" w:rsidRPr="0023029E">
        <w:rPr>
          <w:rFonts w:ascii="Open Sans" w:eastAsiaTheme="minorEastAsia" w:hAnsi="Open Sans" w:cs="Open Sans"/>
          <w:color w:val="auto"/>
          <w:sz w:val="24"/>
          <w:szCs w:val="24"/>
        </w:rPr>
        <w:t>landscape correlation</w:t>
      </w:r>
    </w:p>
    <w:p w14:paraId="38BF7949" w14:textId="77777777" w:rsidR="00E962EA" w:rsidRPr="003013BC" w:rsidRDefault="00E962EA" w:rsidP="00E962EA">
      <w:pPr>
        <w:rPr>
          <w:rFonts w:asciiTheme="majorHAnsi" w:hAnsiTheme="majorHAnsi" w:cstheme="majorHAnsi"/>
        </w:rPr>
      </w:pPr>
    </w:p>
    <w:p w14:paraId="3B072ABE" w14:textId="3AFD2FF1" w:rsidR="00AF46BA" w:rsidRPr="0023029E"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Transferability</w:t>
      </w:r>
      <w:r w:rsidR="59B482CC" w:rsidRPr="00022D3B">
        <w:rPr>
          <w:rFonts w:ascii="Open Sans SemiBold" w:hAnsi="Open Sans SemiBold" w:cs="Open Sans SemiBold"/>
          <w:sz w:val="28"/>
          <w:szCs w:val="28"/>
          <w:u w:val="single"/>
        </w:rPr>
        <w:t xml:space="preserve"> of </w:t>
      </w:r>
      <w:r w:rsidR="32994C73" w:rsidRPr="00022D3B">
        <w:rPr>
          <w:rFonts w:ascii="Open Sans SemiBold" w:hAnsi="Open Sans SemiBold" w:cs="Open Sans SemiBold"/>
          <w:sz w:val="28"/>
          <w:szCs w:val="28"/>
          <w:u w:val="single"/>
        </w:rPr>
        <w:t>Function</w:t>
      </w:r>
      <w:r w:rsidRPr="00022D3B">
        <w:rPr>
          <w:rFonts w:ascii="Open Sans SemiBold" w:hAnsi="Open Sans SemiBold" w:cs="Open Sans SemiBold"/>
          <w:sz w:val="28"/>
          <w:szCs w:val="28"/>
          <w:u w:val="single"/>
        </w:rPr>
        <w:t>:</w:t>
      </w:r>
      <w:r w:rsidR="1384BB29" w:rsidRPr="003013BC">
        <w:rPr>
          <w:rFonts w:cstheme="majorHAnsi"/>
          <w:color w:val="auto"/>
        </w:rPr>
        <w:t xml:space="preserve"> </w:t>
      </w:r>
      <w:r w:rsidR="00496C39" w:rsidRPr="0023029E">
        <w:rPr>
          <w:rFonts w:ascii="Open Sans" w:eastAsiaTheme="minorEastAsia" w:hAnsi="Open Sans" w:cs="Open Sans"/>
          <w:color w:val="auto"/>
          <w:sz w:val="24"/>
          <w:szCs w:val="24"/>
        </w:rPr>
        <w:t xml:space="preserve">This </w:t>
      </w:r>
      <w:r w:rsidR="00D30BA6" w:rsidRPr="0023029E">
        <w:rPr>
          <w:rFonts w:ascii="Open Sans" w:eastAsiaTheme="minorEastAsia" w:hAnsi="Open Sans" w:cs="Open Sans"/>
          <w:color w:val="auto"/>
          <w:sz w:val="24"/>
          <w:szCs w:val="24"/>
        </w:rPr>
        <w:t xml:space="preserve">function could be applied to any of the three species for which it was developed </w:t>
      </w:r>
      <w:r w:rsidR="00982967" w:rsidRPr="0023029E">
        <w:rPr>
          <w:rFonts w:ascii="Open Sans" w:eastAsiaTheme="minorEastAsia" w:hAnsi="Open Sans" w:cs="Open Sans"/>
          <w:color w:val="auto"/>
          <w:sz w:val="24"/>
          <w:szCs w:val="24"/>
        </w:rPr>
        <w:t>(Bull Trout, Athabasca Rainbow Trout, and Westslope Cutthroat Trout)</w:t>
      </w:r>
      <w:r w:rsidR="00217798" w:rsidRPr="0023029E">
        <w:rPr>
          <w:rFonts w:ascii="Open Sans" w:eastAsiaTheme="minorEastAsia" w:hAnsi="Open Sans" w:cs="Open Sans"/>
          <w:color w:val="auto"/>
          <w:sz w:val="24"/>
          <w:szCs w:val="24"/>
        </w:rPr>
        <w:t xml:space="preserve"> within the Alberta range</w:t>
      </w:r>
      <w:r w:rsidR="00D30BA6" w:rsidRPr="0023029E">
        <w:rPr>
          <w:rFonts w:ascii="Open Sans" w:eastAsiaTheme="minorEastAsia" w:hAnsi="Open Sans" w:cs="Open Sans"/>
          <w:color w:val="auto"/>
          <w:sz w:val="24"/>
          <w:szCs w:val="24"/>
        </w:rPr>
        <w:t>.</w:t>
      </w:r>
      <w:r w:rsidR="00A02836" w:rsidRPr="0023029E">
        <w:rPr>
          <w:rFonts w:ascii="Open Sans" w:eastAsiaTheme="minorEastAsia" w:hAnsi="Open Sans" w:cs="Open Sans"/>
          <w:color w:val="auto"/>
          <w:sz w:val="24"/>
          <w:szCs w:val="24"/>
        </w:rPr>
        <w:t xml:space="preserve"> </w:t>
      </w:r>
      <w:r w:rsidR="00CC2DBB" w:rsidRPr="0023029E">
        <w:rPr>
          <w:rFonts w:ascii="Open Sans" w:eastAsiaTheme="minorEastAsia" w:hAnsi="Open Sans" w:cs="Open Sans"/>
          <w:color w:val="auto"/>
          <w:sz w:val="24"/>
          <w:szCs w:val="24"/>
        </w:rPr>
        <w:t xml:space="preserve">While </w:t>
      </w:r>
      <w:r w:rsidR="00326A26" w:rsidRPr="0023029E">
        <w:rPr>
          <w:rFonts w:ascii="Open Sans" w:eastAsiaTheme="minorEastAsia" w:hAnsi="Open Sans" w:cs="Open Sans"/>
          <w:color w:val="auto"/>
          <w:sz w:val="24"/>
          <w:szCs w:val="24"/>
        </w:rPr>
        <w:t>increased sedimentation</w:t>
      </w:r>
      <w:r w:rsidR="00217798" w:rsidRPr="0023029E">
        <w:rPr>
          <w:rFonts w:ascii="Open Sans" w:eastAsiaTheme="minorEastAsia" w:hAnsi="Open Sans" w:cs="Open Sans"/>
          <w:color w:val="auto"/>
          <w:sz w:val="24"/>
          <w:szCs w:val="24"/>
        </w:rPr>
        <w:t xml:space="preserve"> has been shown to influence many aquatic systems</w:t>
      </w:r>
      <w:r w:rsidR="00A23990" w:rsidRPr="0023029E">
        <w:rPr>
          <w:rFonts w:ascii="Open Sans" w:eastAsiaTheme="minorEastAsia" w:hAnsi="Open Sans" w:cs="Open Sans"/>
          <w:color w:val="auto"/>
          <w:sz w:val="24"/>
          <w:szCs w:val="24"/>
        </w:rPr>
        <w:t xml:space="preserve">, this function should be applied to other species with caution. </w:t>
      </w:r>
    </w:p>
    <w:p w14:paraId="489390CD" w14:textId="77777777" w:rsidR="009765D3" w:rsidRDefault="009765D3">
      <w:pPr>
        <w:rPr>
          <w:rFonts w:ascii="Open Sans" w:hAnsi="Open Sans" w:cs="Open Sans"/>
          <w:sz w:val="24"/>
          <w:szCs w:val="24"/>
        </w:rPr>
      </w:pPr>
    </w:p>
    <w:p w14:paraId="6026D546" w14:textId="77777777" w:rsidR="009765D3" w:rsidRDefault="009765D3" w:rsidP="009765D3">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006F4AC1" w:rsidR="00E0017B" w:rsidRPr="0023029E" w:rsidRDefault="00E0017B">
      <w:pPr>
        <w:rPr>
          <w:rFonts w:ascii="Open Sans" w:hAnsi="Open Sans" w:cs="Open Sans"/>
          <w:sz w:val="24"/>
          <w:szCs w:val="24"/>
        </w:rPr>
      </w:pPr>
      <w:r w:rsidRPr="0023029E">
        <w:rPr>
          <w:rFonts w:ascii="Open Sans" w:hAnsi="Open Sans" w:cs="Open Sans"/>
          <w:sz w:val="24"/>
          <w:szCs w:val="24"/>
        </w:rPr>
        <w:br w:type="page"/>
      </w:r>
    </w:p>
    <w:p w14:paraId="5EBA76D6" w14:textId="466F419C" w:rsidR="2F9CA283" w:rsidRPr="0040533E" w:rsidRDefault="16666FFA" w:rsidP="00E0017B">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D</w:t>
      </w:r>
      <w:r w:rsidR="008D3EF1" w:rsidRPr="0040533E">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Pr="00B236D7" w:rsidRDefault="00C943CD" w:rsidP="00B236D7">
      <w:pPr>
        <w:pStyle w:val="Heading1"/>
        <w:keepNext w:val="0"/>
        <w:keepLines w:val="0"/>
        <w:widowControl w:val="0"/>
        <w:spacing w:before="0" w:line="240" w:lineRule="auto"/>
        <w:ind w:left="2016" w:hanging="2016"/>
        <w:rPr>
          <w:rFonts w:ascii="Open Sans SemiBold" w:hAnsi="Open Sans SemiBold" w:cs="Open Sans SemiBold"/>
          <w:sz w:val="28"/>
          <w:szCs w:val="28"/>
          <w:u w:val="single"/>
        </w:rPr>
      </w:pPr>
      <w:r w:rsidRPr="00B236D7">
        <w:rPr>
          <w:rFonts w:ascii="Open Sans SemiBold" w:hAnsi="Open Sans SemiBold" w:cs="Open Sans SemiBold"/>
          <w:sz w:val="28"/>
          <w:szCs w:val="28"/>
          <w:u w:val="single"/>
        </w:rPr>
        <w:t xml:space="preserve">Derivation of the function: </w:t>
      </w:r>
    </w:p>
    <w:p w14:paraId="2CBE0DCB" w14:textId="5813A17F" w:rsidR="009F51C0" w:rsidRPr="00B236D7" w:rsidRDefault="009F51C0" w:rsidP="009F51C0">
      <w:pPr>
        <w:jc w:val="both"/>
        <w:rPr>
          <w:rFonts w:ascii="Open Sans" w:hAnsi="Open Sans" w:cs="Open Sans"/>
        </w:rPr>
      </w:pPr>
      <w:r w:rsidRPr="00B236D7">
        <w:rPr>
          <w:rFonts w:ascii="Open Sans" w:hAnsi="Open Sans" w:cs="Open Sans"/>
        </w:rPr>
        <w:t xml:space="preserve">Sedimentation can reduce the biological productivity of aquatic ecosystems and damage fish habitat (GOA 2023). The amount of sediment a stream can transport is based on numerous factors including, but not limited to, precipitation, surface water transport, erosion, topography, geology and riparian vegetation (reviewed in Muck 2010). Anthropogenic disturbances (e.g., such as roads, Lachance et al. 2008) can produce substantial inputs of sediments into streams in excess of natural levels. These increased rates of sediment delivery can adversely affect bull trout habitat and have lethal and sub-lethal effects throughout trout life history from egg incubation to adulthood (reviewed in Muck 2010). </w:t>
      </w:r>
    </w:p>
    <w:p w14:paraId="07808DF9" w14:textId="6F4767FC" w:rsidR="009F51C0" w:rsidRPr="00B236D7" w:rsidRDefault="009F51C0" w:rsidP="009F51C0">
      <w:pPr>
        <w:jc w:val="both"/>
        <w:rPr>
          <w:rFonts w:ascii="Open Sans" w:hAnsi="Open Sans" w:cs="Open Sans"/>
        </w:rPr>
      </w:pPr>
      <w:r w:rsidRPr="00B236D7">
        <w:rPr>
          <w:rFonts w:ascii="Open Sans" w:hAnsi="Open Sans" w:cs="Open Sans"/>
        </w:rPr>
        <w:t xml:space="preserve">Potential impacts caused by excessive suspended sediments are varied, complex and often masked by other concurrent activities (Newcombe 2003), making it difficult to establish the specific effects of sediment impacts on fish (Chapman 1988). The sediment stressor-response curve was developed using sediment estimates obtained from ALCES online based on 2010 footprint and current FSA risk categories for the native trout species (see MacPherson et al. 2019; AEP 2013, 2018, 2019) in the HUC 8 watersheds across Alberta’s East Slopes. FSA risk categories vary from 0 (functionally extirpated) to 5 (very low risk). The dynamic pattern of sediment transport varies from watershed to watershed and aquatic ecosystems have adapted to the natural temporal and spatial pattern of this transport. As such, effects on fish from changes in sediment loading will be relative to natural conditions (Kemp et al. 2011). To capture relative change, sediment in the stressor-response curve was defined as the “sediment index” which is measured as potential sediment loading for 2010 (tonnes/ha/year) divided by potential sediment loading for 1910 (tonnes/ha/year). </w:t>
      </w:r>
    </w:p>
    <w:p w14:paraId="69D34027"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sediment index (2010 loading/1910 loading) stressor-response curves were derived by: a) using logistic regression to develop a statistical model relating probability of being within a given FSA category to the log-transformed sediment index; and, b) converting this statistical model into a stressor-response curve relating sediment to the system capacity of the 3 trout species.  Proportional-odds logistic regression was used as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685108EF"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stressor-response curve was derived from the proportional-odds logistic-regression models by estimating sediment index levels required for a 90% probability of falling within a given FSA category.  This is similar logic to quantile regression (Cade and Noon 2003) that recognizes numerous unaccounted factors can be driving a response variable.  FSA </w:t>
      </w:r>
      <w:r w:rsidRPr="00B236D7">
        <w:rPr>
          <w:rFonts w:ascii="Open Sans" w:hAnsi="Open Sans" w:cs="Open Sans"/>
        </w:rPr>
        <w:lastRenderedPageBreak/>
        <w:t xml:space="preserve">categories were converted to percent of reference condition using population percentages at transition points between adjacent FSA categories.  </w:t>
      </w:r>
    </w:p>
    <w:p w14:paraId="49C5CDAF" w14:textId="2BA2AC4B" w:rsidR="00C739AD" w:rsidRPr="00B236D7" w:rsidRDefault="009F51C0" w:rsidP="009F51C0">
      <w:pPr>
        <w:jc w:val="both"/>
        <w:rPr>
          <w:rFonts w:ascii="Open Sans" w:hAnsi="Open Sans" w:cs="Open Sans"/>
        </w:rPr>
      </w:pPr>
      <w:r w:rsidRPr="00B236D7">
        <w:rPr>
          <w:rFonts w:ascii="Open Sans" w:hAnsi="Open Sans" w:cs="Open Sans"/>
        </w:rPr>
        <w:t>Compared to phosphorus, the data showed a much clearer separation among FSA categories with increasing sediment relative to background 1910 values. An adult FSA category of 4 existed in watersheds when relative sediment increases were negligible. FSA categories of 1 or 0 dominated when sediment increased more than 3</w:t>
      </w:r>
      <w:r w:rsidR="00DD4CEB" w:rsidRPr="00B236D7">
        <w:rPr>
          <w:rFonts w:ascii="Open Sans" w:hAnsi="Open Sans" w:cs="Open Sans"/>
        </w:rPr>
        <w:t>-</w:t>
      </w:r>
      <w:r w:rsidRPr="00B236D7">
        <w:rPr>
          <w:rFonts w:ascii="Open Sans" w:hAnsi="Open Sans" w:cs="Open Sans"/>
        </w:rPr>
        <w:t>fold over background levels.  Not surprisingly, there was a significant and strong negative sediment effect on association with FSA categories (slope = -2.8, 95% profile confidence interval –3.8 to -2.0). The stressor-response curve is shown in Figure 1.</w:t>
      </w:r>
    </w:p>
    <w:p w14:paraId="6957D1F1" w14:textId="35452743" w:rsidR="006A511C" w:rsidRPr="00B236D7" w:rsidRDefault="006A511C" w:rsidP="009F51C0">
      <w:pPr>
        <w:jc w:val="both"/>
        <w:rPr>
          <w:rFonts w:ascii="Open Sans" w:hAnsi="Open Sans" w:cs="Open Sans"/>
        </w:rPr>
      </w:pPr>
      <w:r w:rsidRPr="00B236D7">
        <w:rPr>
          <w:rFonts w:ascii="Open Sans" w:hAnsi="Open Sans" w:cs="Open Sans"/>
        </w:rPr>
        <w:t>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vice-versa)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52E72F46" w14:textId="544B1061" w:rsidR="00E44402" w:rsidRDefault="00E44402" w:rsidP="00280FF3">
      <w:pPr>
        <w:jc w:val="both"/>
        <w:rPr>
          <w:rFonts w:asciiTheme="majorHAnsi" w:hAnsiTheme="majorHAnsi" w:cstheme="majorHAnsi"/>
          <w:sz w:val="24"/>
          <w:szCs w:val="24"/>
        </w:rPr>
      </w:pPr>
    </w:p>
    <w:p w14:paraId="228C7F28" w14:textId="0A6A1768" w:rsidR="009809ED" w:rsidRDefault="00AF2A03" w:rsidP="00B236D7">
      <w:pPr>
        <w:pStyle w:val="Heading1"/>
        <w:keepNext w:val="0"/>
        <w:keepLines w:val="0"/>
        <w:widowControl w:val="0"/>
        <w:spacing w:before="0" w:line="240" w:lineRule="auto"/>
        <w:ind w:left="2016" w:hanging="2016"/>
        <w:rPr>
          <w:rFonts w:cstheme="majorHAnsi"/>
          <w:b/>
          <w:bCs/>
          <w:u w:val="single"/>
        </w:rPr>
      </w:pPr>
      <w:bookmarkStart w:id="0" w:name="_Hlk158040909"/>
      <w:r w:rsidRPr="00B236D7">
        <w:rPr>
          <w:rFonts w:ascii="Open Sans SemiBold" w:hAnsi="Open Sans SemiBold" w:cs="Open Sans SemiBold"/>
          <w:sz w:val="28"/>
          <w:szCs w:val="28"/>
          <w:u w:val="single"/>
        </w:rPr>
        <w:t>Source of stressor data to apply the function:</w:t>
      </w:r>
      <w:bookmarkEnd w:id="0"/>
    </w:p>
    <w:p w14:paraId="4489BE18" w14:textId="48A09FFE" w:rsidR="00753580" w:rsidRPr="00B236D7" w:rsidRDefault="00753580" w:rsidP="00280FF3">
      <w:pPr>
        <w:jc w:val="both"/>
        <w:rPr>
          <w:rFonts w:ascii="Open Sans" w:hAnsi="Open Sans" w:cs="Open Sans"/>
        </w:rPr>
      </w:pPr>
      <w:r w:rsidRPr="00B236D7">
        <w:rPr>
          <w:rFonts w:ascii="Open Sans" w:hAnsi="Open Sans" w:cs="Open Sans"/>
        </w:rPr>
        <w:t>The sediment index is calculated as the total expected sediment export for 2010 divided by the total expected sediment export before substantial industrial activity (i.e., 1910). Total expected sediment export was calculated following the Event Mean Concentration method described in Donahue (2013) and is based on land cover type and annual precipitation within the natural region. Sediment runoff values were obtained from the Upper Bow River Basin Cumulative Effects Study (ALCES, 2012) and sediment delivery coefficients were obtained from Stelfox et al. (2008). Delivery coefficients for OHV trails were assigned a value of 6% based on the work of Welsh (2008). Total estimated sediment export was calculated in ALCES Online © within the spatial unit of interest.</w:t>
      </w:r>
    </w:p>
    <w:p w14:paraId="1C13D2D6" w14:textId="2EAC9C24"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Stressor-Response </w:t>
      </w:r>
      <w:r w:rsidR="006D6A89" w:rsidRPr="0040533E">
        <w:rPr>
          <w:rFonts w:ascii="Open Sans SemiBold" w:hAnsi="Open Sans SemiBold" w:cs="Open Sans SemiBold"/>
          <w:color w:val="004848"/>
        </w:rPr>
        <w:t>Function</w:t>
      </w:r>
    </w:p>
    <w:p w14:paraId="4FB8F592" w14:textId="02EEEE1C" w:rsidR="00D237DE" w:rsidRPr="00D237DE" w:rsidRDefault="00FD3BF8" w:rsidP="00D237DE">
      <w:r>
        <w:rPr>
          <w:noProof/>
        </w:rPr>
        <w:drawing>
          <wp:anchor distT="0" distB="0" distL="114300" distR="114300" simplePos="0" relativeHeight="251669504" behindDoc="0" locked="0" layoutInCell="1" allowOverlap="1" wp14:anchorId="22891349" wp14:editId="1129D33F">
            <wp:simplePos x="0" y="0"/>
            <wp:positionH relativeFrom="column">
              <wp:posOffset>575228</wp:posOffset>
            </wp:positionH>
            <wp:positionV relativeFrom="paragraph">
              <wp:posOffset>127981</wp:posOffset>
            </wp:positionV>
            <wp:extent cx="4486910" cy="2664460"/>
            <wp:effectExtent l="0" t="0" r="8890" b="2540"/>
            <wp:wrapSquare wrapText="bothSides"/>
            <wp:docPr id="183848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910" cy="2664460"/>
                    </a:xfrm>
                    <a:prstGeom prst="rect">
                      <a:avLst/>
                    </a:prstGeom>
                    <a:noFill/>
                  </pic:spPr>
                </pic:pic>
              </a:graphicData>
            </a:graphic>
          </wp:anchor>
        </w:drawing>
      </w:r>
    </w:p>
    <w:p w14:paraId="24DDEC21" w14:textId="4B652951" w:rsidR="009B39BE" w:rsidRDefault="009B39BE" w:rsidP="00FE22CD">
      <w:pPr>
        <w:keepNext/>
        <w:jc w:val="center"/>
      </w:pPr>
    </w:p>
    <w:p w14:paraId="708D9537" w14:textId="57DCA188" w:rsidR="009B39BE" w:rsidRDefault="009B39BE" w:rsidP="00FE22CD">
      <w:pPr>
        <w:keepNext/>
        <w:jc w:val="center"/>
      </w:pPr>
    </w:p>
    <w:p w14:paraId="25A11412" w14:textId="0D1EFE22"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7AEEA2FD" w14:textId="7804BB81" w:rsidR="00FE22CD" w:rsidRPr="0097078D" w:rsidRDefault="00FE22CD" w:rsidP="009E609D">
      <w:pPr>
        <w:pStyle w:val="Caption"/>
        <w:ind w:left="720" w:hanging="720"/>
        <w:jc w:val="both"/>
        <w:rPr>
          <w:rFonts w:ascii="Open Sans" w:hAnsi="Open Sans" w:cs="Open Sans"/>
          <w:b/>
          <w:bCs/>
          <w:i w:val="0"/>
          <w:iCs w:val="0"/>
          <w:noProof/>
          <w:sz w:val="24"/>
          <w:szCs w:val="24"/>
        </w:rPr>
      </w:pPr>
      <w:r w:rsidRPr="0097078D">
        <w:rPr>
          <w:rFonts w:ascii="Open Sans" w:hAnsi="Open Sans" w:cs="Open Sans"/>
          <w:b/>
          <w:bCs/>
          <w:i w:val="0"/>
          <w:iCs w:val="0"/>
          <w:sz w:val="24"/>
          <w:szCs w:val="24"/>
        </w:rPr>
        <w:t xml:space="preserve">Figure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Figure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822024" w:rsidRPr="0097078D">
        <w:rPr>
          <w:rFonts w:ascii="Open Sans" w:hAnsi="Open Sans" w:cs="Open Sans"/>
          <w:i w:val="0"/>
          <w:iCs w:val="0"/>
          <w:sz w:val="24"/>
          <w:szCs w:val="24"/>
        </w:rPr>
        <w:t>Stressor-response curve depicting the expected relationship between relative increase in sediment loading from 1910 conditions and system capacity of the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Stressor-Response Table</w:t>
      </w:r>
    </w:p>
    <w:p w14:paraId="1D8B0F8B" w14:textId="3C3E8946" w:rsidR="00FE22CD" w:rsidRPr="0097078D" w:rsidRDefault="00FE22CD" w:rsidP="009E609D">
      <w:pPr>
        <w:pStyle w:val="Caption"/>
        <w:keepNext/>
        <w:ind w:left="720" w:hanging="720"/>
        <w:rPr>
          <w:rFonts w:ascii="Open Sans" w:hAnsi="Open Sans" w:cs="Open Sans"/>
          <w:b/>
          <w:bCs/>
          <w:i w:val="0"/>
          <w:iCs w:val="0"/>
          <w:sz w:val="24"/>
          <w:szCs w:val="24"/>
        </w:rPr>
      </w:pPr>
      <w:r w:rsidRPr="0097078D">
        <w:rPr>
          <w:rFonts w:ascii="Open Sans" w:hAnsi="Open Sans" w:cs="Open Sans"/>
          <w:b/>
          <w:bCs/>
          <w:i w:val="0"/>
          <w:iCs w:val="0"/>
          <w:sz w:val="24"/>
          <w:szCs w:val="24"/>
        </w:rPr>
        <w:t xml:space="preserve">Table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Table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265C11" w:rsidRPr="0097078D">
        <w:rPr>
          <w:rFonts w:ascii="Open Sans" w:hAnsi="Open Sans" w:cs="Open Sans"/>
          <w:i w:val="0"/>
          <w:iCs w:val="0"/>
          <w:sz w:val="24"/>
          <w:szCs w:val="24"/>
        </w:rPr>
        <w:t xml:space="preserve">The relationship between </w:t>
      </w:r>
      <w:r w:rsidR="0031740D" w:rsidRPr="0097078D">
        <w:rPr>
          <w:rFonts w:ascii="Open Sans" w:hAnsi="Open Sans" w:cs="Open Sans"/>
          <w:i w:val="0"/>
          <w:iCs w:val="0"/>
          <w:sz w:val="24"/>
          <w:szCs w:val="24"/>
        </w:rPr>
        <w:t xml:space="preserve">February flow withdrawal </w:t>
      </w:r>
      <w:r w:rsidR="00265C11" w:rsidRPr="0097078D">
        <w:rPr>
          <w:rFonts w:ascii="Open Sans" w:hAnsi="Open Sans" w:cs="Open Sans"/>
          <w:i w:val="0"/>
          <w:iCs w:val="0"/>
          <w:sz w:val="24"/>
          <w:szCs w:val="24"/>
        </w:rPr>
        <w:t xml:space="preserve">and system capacity. </w:t>
      </w:r>
    </w:p>
    <w:tbl>
      <w:tblPr>
        <w:tblW w:w="8635" w:type="dxa"/>
        <w:tblLook w:val="04A0" w:firstRow="1" w:lastRow="0" w:firstColumn="1" w:lastColumn="0" w:noHBand="0" w:noVBand="1"/>
      </w:tblPr>
      <w:tblGrid>
        <w:gridCol w:w="2100"/>
        <w:gridCol w:w="60"/>
        <w:gridCol w:w="2970"/>
        <w:gridCol w:w="10"/>
        <w:gridCol w:w="1245"/>
        <w:gridCol w:w="315"/>
        <w:gridCol w:w="675"/>
        <w:gridCol w:w="285"/>
        <w:gridCol w:w="960"/>
        <w:gridCol w:w="15"/>
      </w:tblGrid>
      <w:tr w:rsidR="00FE22CD" w:rsidRPr="00CE7299" w14:paraId="53459223" w14:textId="77777777" w:rsidTr="0097078D">
        <w:trPr>
          <w:trHeight w:val="600"/>
        </w:trPr>
        <w:tc>
          <w:tcPr>
            <w:tcW w:w="2160" w:type="dxa"/>
            <w:gridSpan w:val="2"/>
            <w:tcBorders>
              <w:top w:val="nil"/>
              <w:left w:val="nil"/>
              <w:bottom w:val="single" w:sz="4" w:space="0" w:color="auto"/>
              <w:right w:val="nil"/>
            </w:tcBorders>
            <w:shd w:val="clear" w:color="000000" w:fill="D9D9D9"/>
            <w:vAlign w:val="bottom"/>
            <w:hideMark/>
          </w:tcPr>
          <w:p w14:paraId="7ADFF80C" w14:textId="6984B8DC" w:rsidR="00FE22CD" w:rsidRPr="0097078D" w:rsidRDefault="00C70AEB"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Sediment</w:t>
            </w:r>
            <w:r w:rsidR="00DE14D0" w:rsidRPr="0097078D">
              <w:rPr>
                <w:rFonts w:ascii="Open Sans" w:eastAsia="Times New Roman" w:hAnsi="Open Sans" w:cs="Open Sans"/>
                <w:b/>
                <w:bCs/>
                <w:color w:val="000000"/>
              </w:rPr>
              <w:t xml:space="preserve"> (x-fold increase)</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System Capacity (%)</w:t>
            </w:r>
          </w:p>
        </w:tc>
        <w:tc>
          <w:tcPr>
            <w:tcW w:w="1255" w:type="dxa"/>
            <w:gridSpan w:val="2"/>
            <w:tcBorders>
              <w:top w:val="nil"/>
              <w:left w:val="nil"/>
              <w:bottom w:val="single" w:sz="4" w:space="0" w:color="auto"/>
              <w:right w:val="nil"/>
            </w:tcBorders>
            <w:shd w:val="clear" w:color="000000" w:fill="D9D9D9"/>
            <w:vAlign w:val="bottom"/>
            <w:hideMark/>
          </w:tcPr>
          <w:p w14:paraId="7C074DB7"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SD</w:t>
            </w:r>
          </w:p>
        </w:tc>
        <w:tc>
          <w:tcPr>
            <w:tcW w:w="990" w:type="dxa"/>
            <w:gridSpan w:val="2"/>
            <w:tcBorders>
              <w:top w:val="nil"/>
              <w:left w:val="nil"/>
              <w:bottom w:val="single" w:sz="4" w:space="0" w:color="auto"/>
              <w:right w:val="nil"/>
            </w:tcBorders>
            <w:shd w:val="clear" w:color="000000" w:fill="D9D9D9"/>
            <w:vAlign w:val="bottom"/>
            <w:hideMark/>
          </w:tcPr>
          <w:p w14:paraId="3F3D5280"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Lower Limit</w:t>
            </w:r>
          </w:p>
        </w:tc>
        <w:tc>
          <w:tcPr>
            <w:tcW w:w="1260" w:type="dxa"/>
            <w:gridSpan w:val="3"/>
            <w:tcBorders>
              <w:top w:val="nil"/>
              <w:left w:val="nil"/>
              <w:bottom w:val="single" w:sz="4" w:space="0" w:color="auto"/>
              <w:right w:val="nil"/>
            </w:tcBorders>
            <w:shd w:val="clear" w:color="000000" w:fill="D9D9D9"/>
            <w:vAlign w:val="bottom"/>
            <w:hideMark/>
          </w:tcPr>
          <w:p w14:paraId="2E92DD6E"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Upper Limit</w:t>
            </w:r>
          </w:p>
        </w:tc>
      </w:tr>
      <w:tr w:rsidR="0097078D" w14:paraId="54503B57"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461D403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w:t>
            </w:r>
          </w:p>
        </w:tc>
        <w:tc>
          <w:tcPr>
            <w:tcW w:w="3040" w:type="dxa"/>
            <w:gridSpan w:val="3"/>
            <w:tcBorders>
              <w:top w:val="nil"/>
              <w:left w:val="nil"/>
              <w:bottom w:val="nil"/>
              <w:right w:val="nil"/>
            </w:tcBorders>
            <w:shd w:val="clear" w:color="auto" w:fill="auto"/>
            <w:noWrap/>
            <w:vAlign w:val="bottom"/>
            <w:hideMark/>
          </w:tcPr>
          <w:p w14:paraId="6B355E6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c>
          <w:tcPr>
            <w:tcW w:w="1560" w:type="dxa"/>
            <w:gridSpan w:val="2"/>
            <w:tcBorders>
              <w:top w:val="nil"/>
              <w:left w:val="nil"/>
              <w:bottom w:val="nil"/>
              <w:right w:val="nil"/>
            </w:tcBorders>
            <w:shd w:val="clear" w:color="auto" w:fill="auto"/>
            <w:noWrap/>
            <w:vAlign w:val="bottom"/>
            <w:hideMark/>
          </w:tcPr>
          <w:p w14:paraId="7973D99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6C6EF148"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772B545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737BBA29"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2501646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1.5</w:t>
            </w:r>
          </w:p>
        </w:tc>
        <w:tc>
          <w:tcPr>
            <w:tcW w:w="3040" w:type="dxa"/>
            <w:gridSpan w:val="3"/>
            <w:tcBorders>
              <w:top w:val="nil"/>
              <w:left w:val="nil"/>
              <w:bottom w:val="nil"/>
              <w:right w:val="nil"/>
            </w:tcBorders>
            <w:shd w:val="clear" w:color="auto" w:fill="auto"/>
            <w:noWrap/>
            <w:vAlign w:val="bottom"/>
            <w:hideMark/>
          </w:tcPr>
          <w:p w14:paraId="4176920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70</w:t>
            </w:r>
          </w:p>
        </w:tc>
        <w:tc>
          <w:tcPr>
            <w:tcW w:w="1560" w:type="dxa"/>
            <w:gridSpan w:val="2"/>
            <w:tcBorders>
              <w:top w:val="nil"/>
              <w:left w:val="nil"/>
              <w:bottom w:val="nil"/>
              <w:right w:val="nil"/>
            </w:tcBorders>
            <w:shd w:val="clear" w:color="auto" w:fill="auto"/>
            <w:noWrap/>
            <w:vAlign w:val="bottom"/>
            <w:hideMark/>
          </w:tcPr>
          <w:p w14:paraId="7CCDB823"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7B1E187D"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4C9E645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37420F11"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6CA1BA51"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2.5</w:t>
            </w:r>
          </w:p>
        </w:tc>
        <w:tc>
          <w:tcPr>
            <w:tcW w:w="3040" w:type="dxa"/>
            <w:gridSpan w:val="3"/>
            <w:tcBorders>
              <w:top w:val="nil"/>
              <w:left w:val="nil"/>
              <w:bottom w:val="nil"/>
              <w:right w:val="nil"/>
            </w:tcBorders>
            <w:shd w:val="clear" w:color="auto" w:fill="auto"/>
            <w:noWrap/>
            <w:vAlign w:val="bottom"/>
            <w:hideMark/>
          </w:tcPr>
          <w:p w14:paraId="1375A65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50</w:t>
            </w:r>
          </w:p>
        </w:tc>
        <w:tc>
          <w:tcPr>
            <w:tcW w:w="1560" w:type="dxa"/>
            <w:gridSpan w:val="2"/>
            <w:tcBorders>
              <w:top w:val="nil"/>
              <w:left w:val="nil"/>
              <w:bottom w:val="nil"/>
              <w:right w:val="nil"/>
            </w:tcBorders>
            <w:shd w:val="clear" w:color="auto" w:fill="auto"/>
            <w:noWrap/>
            <w:vAlign w:val="bottom"/>
            <w:hideMark/>
          </w:tcPr>
          <w:p w14:paraId="237B4D9F"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4C5D837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3A891046"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6F741C80"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7C48DD8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4.4</w:t>
            </w:r>
          </w:p>
        </w:tc>
        <w:tc>
          <w:tcPr>
            <w:tcW w:w="3040" w:type="dxa"/>
            <w:gridSpan w:val="3"/>
            <w:tcBorders>
              <w:top w:val="nil"/>
              <w:left w:val="nil"/>
              <w:bottom w:val="nil"/>
              <w:right w:val="nil"/>
            </w:tcBorders>
            <w:shd w:val="clear" w:color="auto" w:fill="auto"/>
            <w:noWrap/>
            <w:vAlign w:val="bottom"/>
            <w:hideMark/>
          </w:tcPr>
          <w:p w14:paraId="1266B85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20</w:t>
            </w:r>
          </w:p>
        </w:tc>
        <w:tc>
          <w:tcPr>
            <w:tcW w:w="1560" w:type="dxa"/>
            <w:gridSpan w:val="2"/>
            <w:tcBorders>
              <w:top w:val="nil"/>
              <w:left w:val="nil"/>
              <w:bottom w:val="nil"/>
              <w:right w:val="nil"/>
            </w:tcBorders>
            <w:shd w:val="clear" w:color="auto" w:fill="auto"/>
            <w:noWrap/>
            <w:vAlign w:val="bottom"/>
            <w:hideMark/>
          </w:tcPr>
          <w:p w14:paraId="09BBB69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159249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53DD64E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1E18E19B"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54763D1B"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10.8</w:t>
            </w:r>
          </w:p>
        </w:tc>
        <w:tc>
          <w:tcPr>
            <w:tcW w:w="3040" w:type="dxa"/>
            <w:gridSpan w:val="3"/>
            <w:tcBorders>
              <w:top w:val="nil"/>
              <w:left w:val="nil"/>
              <w:bottom w:val="nil"/>
              <w:right w:val="nil"/>
            </w:tcBorders>
            <w:shd w:val="clear" w:color="auto" w:fill="auto"/>
            <w:noWrap/>
            <w:vAlign w:val="bottom"/>
            <w:hideMark/>
          </w:tcPr>
          <w:p w14:paraId="5713102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1560" w:type="dxa"/>
            <w:gridSpan w:val="2"/>
            <w:tcBorders>
              <w:top w:val="nil"/>
              <w:left w:val="nil"/>
              <w:bottom w:val="nil"/>
              <w:right w:val="nil"/>
            </w:tcBorders>
            <w:shd w:val="clear" w:color="auto" w:fill="auto"/>
            <w:noWrap/>
            <w:vAlign w:val="bottom"/>
            <w:hideMark/>
          </w:tcPr>
          <w:p w14:paraId="115F456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EF5E10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09C678E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FE22CD" w:rsidRPr="00CE7299" w14:paraId="7A744029" w14:textId="77777777" w:rsidTr="0097078D">
        <w:trPr>
          <w:trHeight w:val="300"/>
        </w:trPr>
        <w:tc>
          <w:tcPr>
            <w:tcW w:w="2160" w:type="dxa"/>
            <w:gridSpan w:val="2"/>
            <w:tcBorders>
              <w:top w:val="nil"/>
              <w:left w:val="nil"/>
              <w:bottom w:val="nil"/>
              <w:right w:val="nil"/>
            </w:tcBorders>
            <w:shd w:val="clear" w:color="auto" w:fill="auto"/>
            <w:noWrap/>
            <w:vAlign w:val="bottom"/>
          </w:tcPr>
          <w:p w14:paraId="2F042600" w14:textId="353F5DB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D32AD4F" w14:textId="09F27356"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C2F8B57" w14:textId="6EAD5067"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0141B4" w14:textId="59E62F31"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642599A" w14:textId="005BB973" w:rsidR="00FE22CD" w:rsidRPr="00CE7299" w:rsidRDefault="00FE22CD" w:rsidP="00210A53">
            <w:pPr>
              <w:spacing w:after="0" w:line="240" w:lineRule="auto"/>
              <w:jc w:val="right"/>
              <w:rPr>
                <w:rFonts w:ascii="Segoe UI" w:eastAsia="Times New Roman" w:hAnsi="Segoe UI" w:cs="Segoe UI"/>
                <w:color w:val="000000"/>
              </w:rPr>
            </w:pPr>
          </w:p>
        </w:tc>
      </w:tr>
      <w:tr w:rsidR="00A431DF" w:rsidRPr="00CE7299" w14:paraId="5DBCE6DF" w14:textId="77777777" w:rsidTr="0097078D">
        <w:trPr>
          <w:trHeight w:val="300"/>
        </w:trPr>
        <w:tc>
          <w:tcPr>
            <w:tcW w:w="2160" w:type="dxa"/>
            <w:gridSpan w:val="2"/>
            <w:tcBorders>
              <w:top w:val="nil"/>
              <w:left w:val="nil"/>
              <w:bottom w:val="nil"/>
              <w:right w:val="nil"/>
            </w:tcBorders>
            <w:shd w:val="clear" w:color="auto" w:fill="auto"/>
            <w:noWrap/>
            <w:vAlign w:val="bottom"/>
          </w:tcPr>
          <w:p w14:paraId="1DD741E8" w14:textId="77777777" w:rsidR="00A431DF" w:rsidRPr="00CE7299" w:rsidRDefault="00A431DF"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66083054" w14:textId="77777777" w:rsidR="00A431DF" w:rsidRPr="00107DC5" w:rsidRDefault="00A431DF"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6332F88E" w14:textId="77777777" w:rsidR="00A431DF" w:rsidRPr="00CE7299" w:rsidRDefault="00A431DF"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5764AF6" w14:textId="77777777" w:rsidR="00A431DF" w:rsidRPr="00CE7299" w:rsidRDefault="00A431DF"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16267E03" w14:textId="77777777" w:rsidR="00A431DF" w:rsidRPr="00CE7299" w:rsidRDefault="00A431DF" w:rsidP="00210A53">
            <w:pPr>
              <w:spacing w:after="0" w:line="240" w:lineRule="auto"/>
              <w:jc w:val="right"/>
              <w:rPr>
                <w:rFonts w:ascii="Segoe UI" w:eastAsia="Times New Roman" w:hAnsi="Segoe UI" w:cs="Segoe UI"/>
                <w:color w:val="000000"/>
              </w:rPr>
            </w:pPr>
          </w:p>
        </w:tc>
      </w:tr>
      <w:tr w:rsidR="00FE22CD" w:rsidRPr="00CE7299" w14:paraId="645A29DB" w14:textId="77777777" w:rsidTr="0097078D">
        <w:trPr>
          <w:trHeight w:val="300"/>
        </w:trPr>
        <w:tc>
          <w:tcPr>
            <w:tcW w:w="2160" w:type="dxa"/>
            <w:gridSpan w:val="2"/>
            <w:tcBorders>
              <w:top w:val="nil"/>
              <w:left w:val="nil"/>
              <w:bottom w:val="nil"/>
              <w:right w:val="nil"/>
            </w:tcBorders>
            <w:shd w:val="clear" w:color="auto" w:fill="auto"/>
            <w:noWrap/>
            <w:vAlign w:val="bottom"/>
          </w:tcPr>
          <w:p w14:paraId="0BDEE3B2" w14:textId="6130D4C9"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00D1E3A8" w14:textId="4280C5CB"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0F175C28" w14:textId="7F0373DC"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0E371FE2" w14:textId="11AEEE9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73CEECAA" w14:textId="13B13E47"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5A7CB62F" w14:textId="77777777" w:rsidTr="0097078D">
        <w:trPr>
          <w:trHeight w:val="300"/>
        </w:trPr>
        <w:tc>
          <w:tcPr>
            <w:tcW w:w="2160" w:type="dxa"/>
            <w:gridSpan w:val="2"/>
            <w:tcBorders>
              <w:top w:val="nil"/>
              <w:left w:val="nil"/>
              <w:bottom w:val="nil"/>
              <w:right w:val="nil"/>
            </w:tcBorders>
            <w:shd w:val="clear" w:color="auto" w:fill="auto"/>
            <w:noWrap/>
            <w:vAlign w:val="bottom"/>
          </w:tcPr>
          <w:p w14:paraId="7204B4F6" w14:textId="5B868031"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399F2B9E" w14:textId="2E35A84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A5915C1" w14:textId="7A4117A9"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6A46049" w14:textId="64E9D94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5B0E9BD2" w14:textId="29600D45"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6773E004" w14:textId="77777777" w:rsidTr="0097078D">
        <w:trPr>
          <w:trHeight w:val="300"/>
        </w:trPr>
        <w:tc>
          <w:tcPr>
            <w:tcW w:w="2160" w:type="dxa"/>
            <w:gridSpan w:val="2"/>
            <w:tcBorders>
              <w:top w:val="nil"/>
              <w:left w:val="nil"/>
              <w:bottom w:val="nil"/>
              <w:right w:val="nil"/>
            </w:tcBorders>
            <w:shd w:val="clear" w:color="auto" w:fill="auto"/>
            <w:noWrap/>
            <w:vAlign w:val="bottom"/>
          </w:tcPr>
          <w:p w14:paraId="7D65FC51" w14:textId="54019B1E"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C8DA80F" w14:textId="5B57D7E0"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7175325F" w14:textId="418D0DD1"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81A4812" w14:textId="1AF84573"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634BA132" w14:textId="51F0B90F"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05A2FC0D" w14:textId="77777777" w:rsidTr="0097078D">
        <w:trPr>
          <w:trHeight w:val="300"/>
        </w:trPr>
        <w:tc>
          <w:tcPr>
            <w:tcW w:w="2160" w:type="dxa"/>
            <w:gridSpan w:val="2"/>
            <w:tcBorders>
              <w:top w:val="nil"/>
              <w:left w:val="nil"/>
              <w:bottom w:val="nil"/>
              <w:right w:val="nil"/>
            </w:tcBorders>
            <w:shd w:val="clear" w:color="auto" w:fill="auto"/>
            <w:noWrap/>
            <w:vAlign w:val="bottom"/>
          </w:tcPr>
          <w:p w14:paraId="6365E606" w14:textId="592A84F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57365596" w14:textId="163DBA8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5A7E3A6D" w14:textId="76903B3E"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9446C2" w14:textId="4FE3F08D"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E6B4E2D" w14:textId="5CA8B992" w:rsidR="00FE22CD" w:rsidRPr="00CE7299" w:rsidRDefault="00FE22CD" w:rsidP="00210A53">
            <w:pPr>
              <w:spacing w:after="0" w:line="240" w:lineRule="auto"/>
              <w:jc w:val="right"/>
              <w:rPr>
                <w:rFonts w:ascii="Segoe UI" w:eastAsia="Times New Roman" w:hAnsi="Segoe UI" w:cs="Segoe UI"/>
                <w:color w:val="000000"/>
              </w:rPr>
            </w:pPr>
          </w:p>
        </w:tc>
      </w:tr>
    </w:tbl>
    <w:p w14:paraId="4FA93767" w14:textId="77777777" w:rsidR="00753573" w:rsidRDefault="00753573" w:rsidP="00945E99">
      <w:pPr>
        <w:pStyle w:val="Heading1"/>
        <w:spacing w:before="0" w:line="240" w:lineRule="auto"/>
        <w:rPr>
          <w:rFonts w:ascii="Open Sans" w:hAnsi="Open Sans" w:cs="Open Sans"/>
          <w:color w:val="004848"/>
        </w:rPr>
      </w:pPr>
    </w:p>
    <w:p w14:paraId="286E37E0" w14:textId="77777777" w:rsidR="00753573" w:rsidRDefault="00753573">
      <w:pPr>
        <w:rPr>
          <w:rFonts w:ascii="Open Sans" w:eastAsiaTheme="majorEastAsia" w:hAnsi="Open Sans" w:cs="Open Sans"/>
          <w:color w:val="004848"/>
          <w:sz w:val="32"/>
          <w:szCs w:val="32"/>
        </w:rPr>
      </w:pPr>
      <w:r>
        <w:rPr>
          <w:rFonts w:ascii="Open Sans" w:hAnsi="Open Sans" w:cs="Open Sans"/>
          <w:color w:val="004848"/>
        </w:rPr>
        <w:br w:type="page"/>
      </w:r>
    </w:p>
    <w:p w14:paraId="21A3D5B5" w14:textId="29BF3C04" w:rsidR="00546741" w:rsidRPr="0040533E" w:rsidRDefault="0054674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SR </w:t>
      </w:r>
      <w:r w:rsidR="006D6A89" w:rsidRPr="0040533E">
        <w:rPr>
          <w:rFonts w:ascii="Open Sans SemiBold" w:hAnsi="Open Sans SemiBold" w:cs="Open Sans SemiBold"/>
          <w:color w:val="004848"/>
        </w:rPr>
        <w:t>Function</w:t>
      </w:r>
      <w:r w:rsidRPr="0040533E">
        <w:rPr>
          <w:rFonts w:ascii="Open Sans SemiBold" w:hAnsi="Open Sans SemiBold" w:cs="Open Sans SemiBold"/>
          <w:color w:val="004848"/>
        </w:rPr>
        <w:t xml:space="preserve"> Confidence and Sources of Uncertainty</w:t>
      </w:r>
    </w:p>
    <w:p w14:paraId="7CED356F" w14:textId="77777777" w:rsidR="00487475" w:rsidRPr="00786D07" w:rsidRDefault="00487475" w:rsidP="00487475">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1F29D3"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EB47C0" w:rsidRDefault="0042249B" w:rsidP="00B524E1">
            <w:pPr>
              <w:jc w:val="center"/>
              <w:rPr>
                <w:rFonts w:ascii="Open Sans" w:hAnsi="Open Sans" w:cs="Open Sans"/>
                <w:b/>
                <w:bCs/>
                <w:color w:val="2F5496" w:themeColor="accent1" w:themeShade="BF"/>
                <w:sz w:val="28"/>
                <w:szCs w:val="28"/>
              </w:rPr>
            </w:pPr>
            <w:r w:rsidRPr="00EB47C0">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B47C0" w:rsidRDefault="0042249B" w:rsidP="00B524E1">
            <w:pPr>
              <w:jc w:val="center"/>
              <w:rPr>
                <w:rFonts w:ascii="Open Sans" w:hAnsi="Open Sans" w:cs="Open Sans"/>
                <w:b/>
                <w:bCs/>
                <w:color w:val="2F5496" w:themeColor="accent1" w:themeShade="BF"/>
                <w:sz w:val="28"/>
                <w:szCs w:val="28"/>
              </w:rPr>
            </w:pPr>
            <w:r w:rsidRPr="00EB47C0">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B47C0" w:rsidRDefault="0042249B" w:rsidP="00B524E1">
            <w:pPr>
              <w:jc w:val="center"/>
              <w:rPr>
                <w:rFonts w:ascii="Open Sans" w:hAnsi="Open Sans" w:cs="Open Sans"/>
                <w:b/>
                <w:bCs/>
                <w:color w:val="2F5496" w:themeColor="accent1" w:themeShade="BF"/>
                <w:sz w:val="28"/>
                <w:szCs w:val="28"/>
              </w:rPr>
            </w:pPr>
            <w:r w:rsidRPr="00EB47C0">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1F29D3" w:rsidRDefault="00B14FEC" w:rsidP="00B14FEC">
            <w:pPr>
              <w:jc w:val="center"/>
              <w:rPr>
                <w:rFonts w:ascii="Open Sans" w:eastAsiaTheme="minorEastAsia" w:hAnsi="Open Sans" w:cs="Open Sans"/>
                <w:kern w:val="0"/>
                <w:sz w:val="20"/>
                <w:szCs w:val="20"/>
                <w14:ligatures w14:val="none"/>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F29D3"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F29D3" w:rsidRDefault="00C64402" w:rsidP="001B11AE">
            <w:pPr>
              <w:spacing w:line="259" w:lineRule="auto"/>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Rationale --&gt;</w:t>
            </w:r>
          </w:p>
        </w:tc>
        <w:tc>
          <w:tcPr>
            <w:tcW w:w="6930" w:type="dxa"/>
            <w:gridSpan w:val="3"/>
          </w:tcPr>
          <w:p w14:paraId="6C3EA652" w14:textId="04E9DF9C" w:rsidR="00C64402" w:rsidRPr="001F29D3" w:rsidRDefault="0080371A" w:rsidP="001A1DEF">
            <w:pPr>
              <w:rPr>
                <w:rFonts w:ascii="Open Sans" w:hAnsi="Open Sans" w:cs="Open Sans"/>
                <w:sz w:val="20"/>
                <w:szCs w:val="20"/>
              </w:rPr>
            </w:pPr>
            <w:r w:rsidRPr="001F29D3">
              <w:rPr>
                <w:rFonts w:ascii="Open Sans" w:hAnsi="Open Sans" w:cs="Open Sans"/>
                <w:sz w:val="20"/>
                <w:szCs w:val="20"/>
              </w:rPr>
              <w:t xml:space="preserve">Data for this curve was developed from a broad landscape correlation between </w:t>
            </w:r>
            <w:r w:rsidR="00753573" w:rsidRPr="001F29D3">
              <w:rPr>
                <w:rFonts w:ascii="Open Sans" w:hAnsi="Open Sans" w:cs="Open Sans"/>
                <w:sz w:val="20"/>
                <w:szCs w:val="20"/>
              </w:rPr>
              <w:t>sediment</w:t>
            </w:r>
            <w:r w:rsidRPr="001F29D3">
              <w:rPr>
                <w:rFonts w:ascii="Open Sans" w:hAnsi="Open Sans" w:cs="Open Sans"/>
                <w:sz w:val="20"/>
                <w:szCs w:val="20"/>
              </w:rPr>
              <w:t xml:space="preserve"> and </w:t>
            </w:r>
            <w:r w:rsidR="00C92081" w:rsidRPr="001F29D3">
              <w:rPr>
                <w:rFonts w:ascii="Open Sans" w:hAnsi="Open Sans" w:cs="Open Sans"/>
                <w:sz w:val="20"/>
                <w:szCs w:val="20"/>
              </w:rPr>
              <w:t xml:space="preserve">watershed-wide </w:t>
            </w:r>
            <w:r w:rsidR="00106929" w:rsidRPr="001F29D3">
              <w:rPr>
                <w:rFonts w:ascii="Open Sans" w:hAnsi="Open Sans" w:cs="Open Sans"/>
                <w:sz w:val="20"/>
                <w:szCs w:val="20"/>
              </w:rPr>
              <w:t>trout</w:t>
            </w:r>
            <w:r w:rsidR="00C92081" w:rsidRPr="001F29D3">
              <w:rPr>
                <w:rFonts w:ascii="Open Sans" w:hAnsi="Open Sans" w:cs="Open Sans"/>
                <w:sz w:val="20"/>
                <w:szCs w:val="20"/>
              </w:rPr>
              <w:t xml:space="preserve"> abundance</w:t>
            </w:r>
            <w:r w:rsidR="00B3638E" w:rsidRPr="001F29D3">
              <w:rPr>
                <w:rFonts w:ascii="Open Sans" w:hAnsi="Open Sans" w:cs="Open Sans"/>
                <w:sz w:val="20"/>
                <w:szCs w:val="20"/>
              </w:rPr>
              <w:t xml:space="preserve"> (categorical data)</w:t>
            </w:r>
            <w:r w:rsidR="00106929" w:rsidRPr="001F29D3">
              <w:rPr>
                <w:rFonts w:ascii="Open Sans" w:hAnsi="Open Sans" w:cs="Open Sans"/>
                <w:sz w:val="20"/>
                <w:szCs w:val="20"/>
              </w:rPr>
              <w:t xml:space="preserve">. </w:t>
            </w:r>
            <w:r w:rsidR="00021C72" w:rsidRPr="001F29D3">
              <w:rPr>
                <w:rFonts w:ascii="Open Sans" w:hAnsi="Open Sans" w:cs="Open Sans"/>
                <w:sz w:val="20"/>
                <w:szCs w:val="20"/>
              </w:rPr>
              <w:t xml:space="preserve">While based on a quantitative correlation, the function lacks specificity </w:t>
            </w:r>
            <w:r w:rsidR="00E422DB" w:rsidRPr="001F29D3">
              <w:rPr>
                <w:rFonts w:ascii="Open Sans" w:hAnsi="Open Sans" w:cs="Open Sans"/>
                <w:sz w:val="20"/>
                <w:szCs w:val="20"/>
              </w:rPr>
              <w:t xml:space="preserve">(to species or point source location) </w:t>
            </w:r>
            <w:r w:rsidR="00021C72" w:rsidRPr="001F29D3">
              <w:rPr>
                <w:rFonts w:ascii="Open Sans" w:hAnsi="Open Sans" w:cs="Open Sans"/>
                <w:sz w:val="20"/>
                <w:szCs w:val="20"/>
              </w:rPr>
              <w:t xml:space="preserve">or </w:t>
            </w:r>
            <w:r w:rsidR="00E422DB" w:rsidRPr="001F29D3">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1F29D3"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1F29D3" w:rsidRDefault="009150DA" w:rsidP="009150D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334D8C0" w14:textId="57DC9590" w:rsidR="00C64402" w:rsidRPr="001F29D3" w:rsidRDefault="00EC232C" w:rsidP="001B11AE">
            <w:pPr>
              <w:rPr>
                <w:rFonts w:ascii="Open Sans" w:hAnsi="Open Sans" w:cs="Open Sans"/>
                <w:sz w:val="20"/>
                <w:szCs w:val="20"/>
              </w:rPr>
            </w:pPr>
            <w:r w:rsidRPr="001F29D3">
              <w:rPr>
                <w:rFonts w:ascii="Open Sans" w:hAnsi="Open Sans" w:cs="Open Sans"/>
                <w:sz w:val="20"/>
                <w:szCs w:val="20"/>
              </w:rPr>
              <w:t xml:space="preserve">The function is </w:t>
            </w:r>
            <w:r w:rsidR="00AB3C44" w:rsidRPr="001F29D3">
              <w:rPr>
                <w:rFonts w:ascii="Open Sans" w:hAnsi="Open Sans" w:cs="Open Sans"/>
                <w:sz w:val="20"/>
                <w:szCs w:val="20"/>
              </w:rPr>
              <w:t xml:space="preserve">strongly </w:t>
            </w:r>
            <w:r w:rsidR="00E83236" w:rsidRPr="001F29D3">
              <w:rPr>
                <w:rFonts w:ascii="Open Sans" w:hAnsi="Open Sans" w:cs="Open Sans"/>
                <w:sz w:val="20"/>
                <w:szCs w:val="20"/>
              </w:rPr>
              <w:t xml:space="preserve">negative, but the </w:t>
            </w:r>
            <w:r w:rsidR="007A4AA7" w:rsidRPr="001F29D3">
              <w:rPr>
                <w:rFonts w:ascii="Open Sans" w:hAnsi="Open Sans" w:cs="Open Sans"/>
                <w:sz w:val="20"/>
                <w:szCs w:val="20"/>
              </w:rPr>
              <w:t xml:space="preserve">precise </w:t>
            </w:r>
            <w:r w:rsidR="00E83236" w:rsidRPr="001F29D3">
              <w:rPr>
                <w:rFonts w:ascii="Open Sans" w:hAnsi="Open Sans" w:cs="Open Sans"/>
                <w:sz w:val="20"/>
                <w:szCs w:val="20"/>
              </w:rPr>
              <w:t>shape of the decline is based on broad categorizations of fish abundance</w:t>
            </w:r>
            <w:r w:rsidR="00FD51DB" w:rsidRPr="001F29D3">
              <w:rPr>
                <w:rFonts w:ascii="Open Sans" w:hAnsi="Open Sans" w:cs="Open Sans"/>
                <w:sz w:val="20"/>
                <w:szCs w:val="20"/>
              </w:rPr>
              <w:t xml:space="preserve"> (FSA category)</w:t>
            </w:r>
            <w:r w:rsidR="0011633C" w:rsidRPr="001F29D3">
              <w:rPr>
                <w:rFonts w:ascii="Open Sans" w:hAnsi="Open Sans" w:cs="Open Sans"/>
                <w:sz w:val="20"/>
                <w:szCs w:val="20"/>
              </w:rPr>
              <w:t>. There was clear separation between FSA categories due to sediment loading.</w:t>
            </w:r>
          </w:p>
        </w:tc>
      </w:tr>
      <w:tr w:rsidR="0042249B" w:rsidRPr="00B4154F" w14:paraId="676B3FBF" w14:textId="77777777" w:rsidTr="00831C16">
        <w:trPr>
          <w:trHeight w:val="300"/>
        </w:trPr>
        <w:tc>
          <w:tcPr>
            <w:tcW w:w="2790" w:type="dxa"/>
          </w:tcPr>
          <w:p w14:paraId="4FFE1C29"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530AC4A" w:rsidR="0042249B" w:rsidRPr="001F29D3" w:rsidRDefault="0042249B" w:rsidP="00520662">
            <w:pPr>
              <w:spacing w:line="259" w:lineRule="auto"/>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26FD40D3" w14:textId="26019152" w:rsidR="0042249B" w:rsidRPr="001F29D3" w:rsidRDefault="001C069F" w:rsidP="00C6221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CACACBA" w14:textId="6BB80E84" w:rsidR="0042249B" w:rsidRPr="001F29D3"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7BC163B" w14:textId="36F43CD7" w:rsidR="00C64402" w:rsidRPr="001F29D3" w:rsidRDefault="008B3E9F" w:rsidP="001B11AE">
            <w:pPr>
              <w:rPr>
                <w:rFonts w:ascii="Open Sans" w:hAnsi="Open Sans" w:cs="Open Sans"/>
                <w:sz w:val="20"/>
                <w:szCs w:val="20"/>
              </w:rPr>
            </w:pPr>
            <w:r w:rsidRPr="001F29D3">
              <w:rPr>
                <w:rFonts w:ascii="Open Sans" w:hAnsi="Open Sans" w:cs="Open Sans"/>
                <w:sz w:val="20"/>
                <w:szCs w:val="20"/>
              </w:rPr>
              <w:t xml:space="preserve">The </w:t>
            </w:r>
            <w:r w:rsidR="000E06EA" w:rsidRPr="001F29D3">
              <w:rPr>
                <w:rFonts w:ascii="Open Sans" w:hAnsi="Open Sans" w:cs="Open Sans"/>
                <w:sz w:val="20"/>
                <w:szCs w:val="20"/>
              </w:rPr>
              <w:t>function was significant</w:t>
            </w:r>
            <w:r w:rsidR="007A4AA7" w:rsidRPr="001F29D3">
              <w:rPr>
                <w:rFonts w:ascii="Open Sans" w:hAnsi="Open Sans" w:cs="Open Sans"/>
                <w:sz w:val="20"/>
                <w:szCs w:val="20"/>
              </w:rPr>
              <w:t xml:space="preserve"> and strongly negative</w:t>
            </w:r>
            <w:r w:rsidR="000E06EA" w:rsidRPr="001F29D3">
              <w:rPr>
                <w:rFonts w:ascii="Open Sans" w:hAnsi="Open Sans" w:cs="Open Sans"/>
                <w:sz w:val="20"/>
                <w:szCs w:val="20"/>
              </w:rPr>
              <w:t>, with tighter confidence intervals than those found for phosphorus.</w:t>
            </w:r>
          </w:p>
        </w:tc>
      </w:tr>
      <w:tr w:rsidR="0042249B" w:rsidRPr="00B4154F" w14:paraId="64ECFA8D" w14:textId="77777777" w:rsidTr="00831C16">
        <w:trPr>
          <w:trHeight w:val="300"/>
        </w:trPr>
        <w:tc>
          <w:tcPr>
            <w:tcW w:w="2790" w:type="dxa"/>
          </w:tcPr>
          <w:p w14:paraId="7DAC4157"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1F29D3"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1F29D3" w:rsidRDefault="00CD1F35" w:rsidP="00CD1F35">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100640D" w:rsidR="00C64402" w:rsidRPr="001F29D3" w:rsidRDefault="00290A9A" w:rsidP="001B11AE">
            <w:pPr>
              <w:rPr>
                <w:rFonts w:ascii="Open Sans" w:hAnsi="Open Sans" w:cs="Open Sans"/>
                <w:sz w:val="20"/>
                <w:szCs w:val="20"/>
              </w:rPr>
            </w:pPr>
            <w:r w:rsidRPr="001F29D3">
              <w:rPr>
                <w:rFonts w:ascii="Open Sans" w:hAnsi="Open Sans" w:cs="Open Sans"/>
                <w:sz w:val="20"/>
                <w:szCs w:val="20"/>
              </w:rPr>
              <w:t xml:space="preserve">The function was built for the three species, </w:t>
            </w:r>
            <w:r w:rsidR="005E51AC" w:rsidRPr="001F29D3">
              <w:rPr>
                <w:rFonts w:ascii="Open Sans" w:hAnsi="Open Sans" w:cs="Open Sans"/>
                <w:sz w:val="20"/>
                <w:szCs w:val="20"/>
              </w:rPr>
              <w:t xml:space="preserve">which are anticipated to respond similarly to </w:t>
            </w:r>
            <w:r w:rsidR="00D02134" w:rsidRPr="001F29D3">
              <w:rPr>
                <w:rFonts w:ascii="Open Sans" w:hAnsi="Open Sans" w:cs="Open Sans"/>
                <w:sz w:val="20"/>
                <w:szCs w:val="20"/>
              </w:rPr>
              <w:t>sediment</w:t>
            </w:r>
            <w:r w:rsidR="005E51AC" w:rsidRPr="001F29D3">
              <w:rPr>
                <w:rFonts w:ascii="Open Sans" w:hAnsi="Open Sans" w:cs="Open Sans"/>
                <w:sz w:val="20"/>
                <w:szCs w:val="20"/>
              </w:rPr>
              <w:t xml:space="preserve">. </w:t>
            </w:r>
            <w:r w:rsidR="00112C11" w:rsidRPr="001F29D3">
              <w:rPr>
                <w:rFonts w:ascii="Open Sans" w:hAnsi="Open Sans" w:cs="Open Sans"/>
                <w:sz w:val="20"/>
                <w:szCs w:val="20"/>
              </w:rPr>
              <w:t xml:space="preserve">The data was based on modelled sediment score and recorded </w:t>
            </w:r>
            <w:r w:rsidR="001347E6" w:rsidRPr="001F29D3">
              <w:rPr>
                <w:rFonts w:ascii="Open Sans" w:hAnsi="Open Sans" w:cs="Open Sans"/>
                <w:sz w:val="20"/>
                <w:szCs w:val="20"/>
              </w:rPr>
              <w:t xml:space="preserve">FSA category specifically for the watershed in which the model was run. </w:t>
            </w:r>
            <w:r w:rsidR="005E51AC" w:rsidRPr="001F29D3">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1F29D3" w:rsidRDefault="008F5CD0" w:rsidP="00C96871">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1F29D3"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1510FBEC" w:rsidR="00C64402" w:rsidRPr="001F29D3" w:rsidRDefault="009432D2" w:rsidP="001B11AE">
            <w:pPr>
              <w:rPr>
                <w:rFonts w:ascii="Open Sans" w:hAnsi="Open Sans" w:cs="Open Sans"/>
                <w:sz w:val="20"/>
                <w:szCs w:val="20"/>
              </w:rPr>
            </w:pPr>
            <w:r w:rsidRPr="001F29D3">
              <w:rPr>
                <w:rFonts w:ascii="Open Sans" w:hAnsi="Open Sans" w:cs="Open Sans"/>
                <w:sz w:val="20"/>
                <w:szCs w:val="20"/>
              </w:rPr>
              <w:t xml:space="preserve">There is </w:t>
            </w:r>
            <w:r w:rsidR="008F5CD0" w:rsidRPr="001F29D3">
              <w:rPr>
                <w:rFonts w:ascii="Open Sans" w:hAnsi="Open Sans" w:cs="Open Sans"/>
                <w:sz w:val="20"/>
                <w:szCs w:val="20"/>
              </w:rPr>
              <w:t xml:space="preserve">significant </w:t>
            </w:r>
            <w:r w:rsidRPr="001F29D3">
              <w:rPr>
                <w:rFonts w:ascii="Open Sans" w:hAnsi="Open Sans" w:cs="Open Sans"/>
                <w:sz w:val="20"/>
                <w:szCs w:val="20"/>
              </w:rPr>
              <w:t>potential for stressor interaction</w:t>
            </w:r>
            <w:r w:rsidR="008F5CD0" w:rsidRPr="001F29D3">
              <w:rPr>
                <w:rFonts w:ascii="Open Sans" w:hAnsi="Open Sans" w:cs="Open Sans"/>
                <w:sz w:val="20"/>
                <w:szCs w:val="20"/>
              </w:rPr>
              <w:t xml:space="preserve">s because this function was developed from landscape correlation. </w:t>
            </w:r>
            <w:r w:rsidR="00161008" w:rsidRPr="001F29D3">
              <w:rPr>
                <w:rFonts w:ascii="Open Sans" w:hAnsi="Open Sans" w:cs="Open Sans"/>
                <w:sz w:val="20"/>
                <w:szCs w:val="20"/>
              </w:rPr>
              <w:t xml:space="preserve">Numerous possible stressors could co-vary with </w:t>
            </w:r>
            <w:r w:rsidR="00A01422" w:rsidRPr="001F29D3">
              <w:rPr>
                <w:rFonts w:ascii="Open Sans" w:hAnsi="Open Sans" w:cs="Open Sans"/>
                <w:sz w:val="20"/>
                <w:szCs w:val="20"/>
              </w:rPr>
              <w:t>sediment and</w:t>
            </w:r>
            <w:r w:rsidR="00161008" w:rsidRPr="001F29D3">
              <w:rPr>
                <w:rFonts w:ascii="Open Sans" w:hAnsi="Open Sans" w:cs="Open Sans"/>
                <w:sz w:val="20"/>
                <w:szCs w:val="20"/>
              </w:rPr>
              <w:t xml:space="preserve"> have the same observed effect on fish population status. </w:t>
            </w:r>
            <w:r w:rsidR="00325F71" w:rsidRPr="001F29D3">
              <w:rPr>
                <w:rFonts w:ascii="Open Sans" w:hAnsi="Open Sans" w:cs="Open Sans"/>
                <w:sz w:val="20"/>
                <w:szCs w:val="20"/>
              </w:rPr>
              <w:t xml:space="preserve">Note: </w:t>
            </w:r>
            <w:r w:rsidR="005B5293" w:rsidRPr="001F29D3">
              <w:rPr>
                <w:rFonts w:ascii="Open Sans" w:hAnsi="Open Sans" w:cs="Open Sans"/>
                <w:sz w:val="20"/>
                <w:szCs w:val="20"/>
              </w:rPr>
              <w:t>T</w:t>
            </w:r>
            <w:r w:rsidR="009E3D28" w:rsidRPr="001F29D3">
              <w:rPr>
                <w:rFonts w:ascii="Open Sans" w:hAnsi="Open Sans" w:cs="Open Sans"/>
                <w:sz w:val="20"/>
                <w:szCs w:val="20"/>
              </w:rPr>
              <w:t>here was strong co</w:t>
            </w:r>
            <w:r w:rsidR="00A23111" w:rsidRPr="001F29D3">
              <w:rPr>
                <w:rFonts w:ascii="Open Sans" w:hAnsi="Open Sans" w:cs="Open Sans"/>
                <w:sz w:val="20"/>
                <w:szCs w:val="20"/>
              </w:rPr>
              <w:t>rrelation (Pearson R = 0.62, 95% confidence interval 0.45 – 0.74)</w:t>
            </w:r>
            <w:r w:rsidR="009E3D28" w:rsidRPr="001F29D3">
              <w:rPr>
                <w:rFonts w:ascii="Open Sans" w:hAnsi="Open Sans" w:cs="Open Sans"/>
                <w:sz w:val="20"/>
                <w:szCs w:val="20"/>
              </w:rPr>
              <w:t xml:space="preserve"> between sediment and phosphorus, so these two functions were treated with a limiting factor approach, rather than multiplicatively.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40533E" w:rsidRDefault="00C5276A"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Recommended Citation</w:t>
      </w:r>
    </w:p>
    <w:p w14:paraId="1D1D7201" w14:textId="5BBFC804" w:rsidR="00C5276A" w:rsidRPr="00A71065" w:rsidRDefault="00C5276A" w:rsidP="00C5276A">
      <w:pPr>
        <w:rPr>
          <w:rFonts w:ascii="Open Sans" w:hAnsi="Open Sans" w:cs="Open Sans"/>
        </w:rPr>
      </w:pPr>
      <w:r w:rsidRPr="00A71065">
        <w:rPr>
          <w:rFonts w:ascii="Open Sans" w:hAnsi="Open Sans" w:cs="Open Sans"/>
        </w:rPr>
        <w:t>This document should be cited as:</w:t>
      </w:r>
    </w:p>
    <w:p w14:paraId="58B4E97B" w14:textId="5018BF15" w:rsidR="007E0627" w:rsidRPr="001624F8" w:rsidRDefault="007E0627" w:rsidP="007E0627">
      <w:pPr>
        <w:spacing w:after="100" w:afterAutospacing="1" w:line="240" w:lineRule="auto"/>
        <w:ind w:left="720" w:hanging="720"/>
        <w:rPr>
          <w:rFonts w:ascii="Open Sans" w:hAnsi="Open Sans" w:cs="Open Sans"/>
        </w:rPr>
      </w:pPr>
      <w:r w:rsidRPr="0013315F">
        <w:rPr>
          <w:rFonts w:ascii="Open Sans" w:hAnsi="Open Sans" w:cs="Open Sans"/>
        </w:rPr>
        <w:t>Government of Alberta. 2024</w:t>
      </w:r>
      <w:r>
        <w:rPr>
          <w:rFonts w:ascii="Open Sans" w:hAnsi="Open Sans" w:cs="Open Sans"/>
        </w:rPr>
        <w:t xml:space="preserve">. </w:t>
      </w:r>
      <w:r w:rsidRPr="00A71065">
        <w:rPr>
          <w:rFonts w:ascii="Open Sans" w:hAnsi="Open Sans" w:cs="Open Sans"/>
        </w:rPr>
        <w:t>Sediment stressor-response function for Athabasca Rainbow Trout, Westslope Cutthroat Trout, and Bull Trout.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765C9485" w14:textId="77777777" w:rsidR="00D2254D" w:rsidRPr="001C09C7" w:rsidRDefault="00D2254D" w:rsidP="00D2254D">
      <w:pPr>
        <w:rPr>
          <w:rFonts w:ascii="Segoe UI" w:hAnsi="Segoe UI" w:cs="Segoe UI"/>
          <w:b/>
          <w:bCs/>
          <w:color w:val="2F5496" w:themeColor="accent1" w:themeShade="BF"/>
        </w:rPr>
      </w:pPr>
      <w:r w:rsidRPr="001C09C7">
        <w:rPr>
          <w:rFonts w:ascii="Segoe UI" w:hAnsi="Segoe UI" w:cs="Segoe UI"/>
          <w:b/>
          <w:bCs/>
          <w:color w:val="2F5496" w:themeColor="accent1" w:themeShade="BF"/>
          <w:sz w:val="24"/>
          <w:szCs w:val="24"/>
        </w:rPr>
        <w:t>_____________________________________________________________________________________________</w:t>
      </w:r>
    </w:p>
    <w:p w14:paraId="1C80D178" w14:textId="77777777" w:rsidR="00283331" w:rsidRPr="0040533E" w:rsidRDefault="0028333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 xml:space="preserve">References </w:t>
      </w:r>
    </w:p>
    <w:p w14:paraId="25C72A05" w14:textId="77777777" w:rsidR="00762342" w:rsidRPr="00074E73" w:rsidRDefault="00762342" w:rsidP="00762342">
      <w:pPr>
        <w:ind w:left="720" w:hanging="720"/>
        <w:rPr>
          <w:rFonts w:ascii="Open Sans" w:hAnsi="Open Sans" w:cs="Open Sans"/>
        </w:rPr>
      </w:pPr>
    </w:p>
    <w:p w14:paraId="06274D9B" w14:textId="68E86DFF" w:rsidR="00762342" w:rsidRPr="00074E73" w:rsidRDefault="00762342" w:rsidP="00762342">
      <w:pPr>
        <w:ind w:left="720" w:hanging="720"/>
        <w:rPr>
          <w:rFonts w:ascii="Open Sans" w:hAnsi="Open Sans" w:cs="Open Sans"/>
        </w:rPr>
      </w:pPr>
      <w:r w:rsidRPr="00074E73">
        <w:rPr>
          <w:rFonts w:ascii="Open Sans" w:hAnsi="Open Sans" w:cs="Open Sans"/>
        </w:rPr>
        <w:t>Alberta Environment and Parks (AEP). 2013. Bull Trout Fish Sustainability Index. Alberta Fish and Wildlife Policy Branch, Edmonton, Alberta. https://www.alberta.ca/bull-trout-fsi</w:t>
      </w:r>
    </w:p>
    <w:p w14:paraId="2CD8E37D" w14:textId="480171E2" w:rsidR="00762342" w:rsidRPr="00074E73" w:rsidRDefault="00762342" w:rsidP="00762342">
      <w:pPr>
        <w:ind w:left="720" w:hanging="720"/>
        <w:rPr>
          <w:rFonts w:ascii="Open Sans" w:hAnsi="Open Sans" w:cs="Open Sans"/>
        </w:rPr>
      </w:pPr>
      <w:r w:rsidRPr="00074E73">
        <w:rPr>
          <w:rFonts w:ascii="Open Sans" w:hAnsi="Open Sans" w:cs="Open Sans"/>
        </w:rPr>
        <w:t xml:space="preserve">Alberta Environment and Parks (AEP). 2018. Westslope Cutthroat Trout Fish Sustainability Index. Alberta Fish and Wildlife Policy Branch, Edmonton, Alberta. </w:t>
      </w:r>
      <w:r w:rsidR="005F4DE9" w:rsidRPr="00074E73">
        <w:rPr>
          <w:rFonts w:ascii="Open Sans" w:hAnsi="Open Sans" w:cs="Open Sans"/>
        </w:rPr>
        <w:t>h</w:t>
      </w:r>
      <w:r w:rsidRPr="00074E73">
        <w:rPr>
          <w:rFonts w:ascii="Open Sans" w:hAnsi="Open Sans" w:cs="Open Sans"/>
        </w:rPr>
        <w:t>ttps://www.alberta.ca/westslope-cutthroat-trout-fsi</w:t>
      </w:r>
    </w:p>
    <w:p w14:paraId="078FDB13" w14:textId="7A7AC397" w:rsidR="00032678" w:rsidRPr="00074E73" w:rsidRDefault="00762342" w:rsidP="00762342">
      <w:pPr>
        <w:ind w:left="720" w:hanging="720"/>
        <w:rPr>
          <w:rFonts w:ascii="Open Sans" w:hAnsi="Open Sans" w:cs="Open Sans"/>
        </w:rPr>
      </w:pPr>
      <w:r w:rsidRPr="00074E73">
        <w:rPr>
          <w:rFonts w:ascii="Open Sans" w:hAnsi="Open Sans" w:cs="Open Sans"/>
        </w:rPr>
        <w:t>Alberta Environment and Parks (AEP). 2019. Athabasca Rainbow Trout Fish Sustainability Index. Alberta Fish and Wildlife Policy Branch, Edmonton, Alberta. https://www.alberta.ca/athabasca-rainbow-trout-fsi</w:t>
      </w:r>
    </w:p>
    <w:p w14:paraId="2656F508" w14:textId="77777777" w:rsidR="001242C2" w:rsidRPr="00074E73" w:rsidRDefault="001242C2" w:rsidP="001242C2">
      <w:pPr>
        <w:ind w:left="720" w:hanging="720"/>
        <w:rPr>
          <w:rFonts w:ascii="Open Sans" w:hAnsi="Open Sans" w:cs="Open Sans"/>
        </w:rPr>
      </w:pPr>
      <w:r w:rsidRPr="00074E73">
        <w:rPr>
          <w:rFonts w:ascii="Open Sans" w:hAnsi="Open Sans" w:cs="Open Sans"/>
        </w:rPr>
        <w:t>ALCES 2012. Upper Bow River Basin Cumulative Effects Study. Report for Action for Agriculture, Alberta. 100 pp.</w:t>
      </w:r>
    </w:p>
    <w:p w14:paraId="21864459" w14:textId="344B1D13" w:rsidR="005F4DE9" w:rsidRPr="00074E73" w:rsidRDefault="005F4DE9" w:rsidP="00762342">
      <w:pPr>
        <w:ind w:left="720" w:hanging="720"/>
        <w:rPr>
          <w:rFonts w:ascii="Open Sans" w:hAnsi="Open Sans" w:cs="Open Sans"/>
        </w:rPr>
      </w:pPr>
      <w:r w:rsidRPr="00074E73">
        <w:rPr>
          <w:rFonts w:ascii="Open Sans" w:hAnsi="Open Sans" w:cs="Open Sans"/>
        </w:rPr>
        <w:t>Chapman, D. W. 1988. Critical review of variables used to define effects of fines in redds of large salmonids. Transactions of the American Fisheries Society 117: 1-21</w:t>
      </w:r>
    </w:p>
    <w:p w14:paraId="251B0D77" w14:textId="5AFEF626" w:rsidR="00CE7582" w:rsidRPr="00074E73" w:rsidRDefault="00CE7582" w:rsidP="00762342">
      <w:pPr>
        <w:ind w:left="720" w:hanging="720"/>
        <w:rPr>
          <w:rFonts w:ascii="Open Sans" w:hAnsi="Open Sans" w:cs="Open Sans"/>
        </w:rPr>
      </w:pPr>
      <w:r w:rsidRPr="00074E73">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A78DE6C" w14:textId="1C1B599F" w:rsidR="00C01EA0" w:rsidRPr="00074E73" w:rsidRDefault="00F82E40" w:rsidP="00F82E40">
      <w:pPr>
        <w:ind w:left="720" w:hanging="720"/>
        <w:rPr>
          <w:rFonts w:ascii="Open Sans" w:hAnsi="Open Sans" w:cs="Open Sans"/>
        </w:rPr>
      </w:pPr>
      <w:r w:rsidRPr="00074E73">
        <w:rPr>
          <w:rFonts w:ascii="Open Sans" w:hAnsi="Open Sans" w:cs="Open Sans"/>
        </w:rPr>
        <w:t>Lachance, S., M. Dube, R. Dostie, and P. Berube. 2008. Temporal and spatial quantification of fine-sediment accumulation downstream of culverts in brook trout habitat. Transactions of the American Fisheries Society 137: 1826-1838</w:t>
      </w:r>
    </w:p>
    <w:p w14:paraId="1660E0DE" w14:textId="2D021171" w:rsidR="004273F9" w:rsidRPr="00074E73" w:rsidRDefault="004273F9" w:rsidP="00F82E40">
      <w:pPr>
        <w:ind w:left="720" w:hanging="720"/>
        <w:rPr>
          <w:rFonts w:ascii="Open Sans" w:hAnsi="Open Sans" w:cs="Open Sans"/>
        </w:rPr>
      </w:pPr>
      <w:r w:rsidRPr="00074E73">
        <w:rPr>
          <w:rFonts w:ascii="Open Sans" w:hAnsi="Open Sans" w:cs="Open Sans"/>
        </w:rPr>
        <w:t>MacPherson, L., Sullivan, M., Reilly, J., and Paul, A. 2019. Alberta’s Fisheries Sustainability Assessment: A Guide to Assessing Population Status, and Quantifying Cumulative Effects using the Joe Modelling Technique. DFO Can. Sci. Advis. Sec. Res. Doc. 2019/058. vii + 45p</w:t>
      </w:r>
    </w:p>
    <w:p w14:paraId="3DDD942F" w14:textId="10A9A9FD" w:rsidR="00074C02" w:rsidRPr="00074E73" w:rsidRDefault="00074C02" w:rsidP="00F82E40">
      <w:pPr>
        <w:ind w:left="720" w:hanging="720"/>
        <w:rPr>
          <w:rFonts w:ascii="Open Sans" w:hAnsi="Open Sans" w:cs="Open Sans"/>
        </w:rPr>
      </w:pPr>
      <w:r w:rsidRPr="00074E73">
        <w:rPr>
          <w:rFonts w:ascii="Open Sans" w:hAnsi="Open Sans" w:cs="Open Sans"/>
        </w:rPr>
        <w:lastRenderedPageBreak/>
        <w:t>Muck. J. 2010. Biological effects of sedimentation on Bull Trout and their habitat – guidance for evaluating effects. U.S. Fish and Wildlife Service. Washington Fish and Wildlife Office. Lacey, WA</w:t>
      </w:r>
    </w:p>
    <w:p w14:paraId="0B550C3D" w14:textId="43DC174E" w:rsidR="007C426F" w:rsidRPr="00074E73" w:rsidRDefault="007C426F" w:rsidP="00F82E40">
      <w:pPr>
        <w:ind w:left="720" w:hanging="720"/>
        <w:rPr>
          <w:rFonts w:ascii="Open Sans" w:hAnsi="Open Sans" w:cs="Open Sans"/>
        </w:rPr>
      </w:pPr>
      <w:r w:rsidRPr="00074E73">
        <w:rPr>
          <w:rFonts w:ascii="Open Sans" w:hAnsi="Open Sans" w:cs="Open Sans"/>
        </w:rPr>
        <w:t>Newcombe, C. P. 2003. Impact assessment model for clear water fishes exposed to excessively cloudy water. Journal of the American Water Resources Association 39: 529-544</w:t>
      </w:r>
    </w:p>
    <w:p w14:paraId="7F6BF085" w14:textId="15B0856D" w:rsidR="00F95690" w:rsidRPr="00074E73" w:rsidRDefault="00F95690" w:rsidP="00F82E40">
      <w:pPr>
        <w:ind w:left="720" w:hanging="720"/>
        <w:rPr>
          <w:rFonts w:ascii="Open Sans" w:hAnsi="Open Sans" w:cs="Open Sans"/>
        </w:rPr>
      </w:pPr>
      <w:r w:rsidRPr="00074E73">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34183224" w14:textId="0CDB7AC8" w:rsidR="000465B9" w:rsidRPr="00074E73" w:rsidRDefault="000465B9" w:rsidP="00F82E40">
      <w:pPr>
        <w:ind w:left="720" w:hanging="720"/>
        <w:rPr>
          <w:rFonts w:ascii="Open Sans" w:hAnsi="Open Sans" w:cs="Open Sans"/>
        </w:rPr>
      </w:pPr>
      <w:r w:rsidRPr="00074E73">
        <w:rPr>
          <w:rFonts w:ascii="Open Sans" w:hAnsi="Open Sans" w:cs="Open Sans"/>
        </w:rPr>
        <w:t>Venables, W. N., and B. D. Ripley. 2002. Modern Applied Statistics with S. Springer. https://doi.org/10.1007/978-0-387-21706-2_1</w:t>
      </w:r>
    </w:p>
    <w:p w14:paraId="735090CC" w14:textId="0E773FCB" w:rsidR="00583E27" w:rsidRPr="00074E73" w:rsidRDefault="00583E27" w:rsidP="00F82E40">
      <w:pPr>
        <w:ind w:left="720" w:hanging="720"/>
        <w:rPr>
          <w:rFonts w:ascii="Open Sans" w:hAnsi="Open Sans" w:cs="Open Sans"/>
        </w:rPr>
      </w:pPr>
      <w:r w:rsidRPr="00074E73">
        <w:rPr>
          <w:rFonts w:ascii="Open Sans" w:hAnsi="Open Sans" w:cs="Open Sans"/>
        </w:rPr>
        <w:t>Welsh, M. J. 2008. Sediment Production and Delivery from Forest Roads and Off-Highway Vehicle Trails in the Upper South Platte River Watershed, Colorado. MSc thesis, Colorado State University</w:t>
      </w:r>
    </w:p>
    <w:p w14:paraId="3F32C6FB" w14:textId="0F3DE833" w:rsidR="00514F9B" w:rsidRPr="00074E73" w:rsidRDefault="00514F9B" w:rsidP="00F82E40">
      <w:pPr>
        <w:ind w:left="720" w:hanging="720"/>
        <w:rPr>
          <w:rFonts w:ascii="Open Sans" w:hAnsi="Open Sans" w:cs="Open Sans"/>
        </w:rPr>
      </w:pPr>
      <w:r w:rsidRPr="00074E73">
        <w:rPr>
          <w:rFonts w:ascii="Open Sans" w:hAnsi="Open Sans" w:cs="Open Sans"/>
        </w:rPr>
        <w:t>Zuur, A.F., E.N. Leno and C.S. Elphick. 2010. A protocol for data exploration to avoid common statistical problems. Methods in Ecology and Evolution 1:3-14</w:t>
      </w:r>
    </w:p>
    <w:p w14:paraId="77658E5F" w14:textId="77777777" w:rsidR="00074C02" w:rsidRPr="0084446A" w:rsidRDefault="00074C02" w:rsidP="00F82E40">
      <w:pPr>
        <w:ind w:left="720" w:hanging="720"/>
        <w:rPr>
          <w:rFonts w:asciiTheme="majorHAnsi" w:hAnsiTheme="majorHAnsi" w:cstheme="majorHAnsi"/>
          <w:sz w:val="24"/>
          <w:szCs w:val="24"/>
        </w:rPr>
      </w:pPr>
    </w:p>
    <w:sectPr w:rsidR="00074C02" w:rsidRPr="0084446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noProof/>
      </w:rPr>
    </w:sdtEndPr>
    <w:sdtContent>
      <w:p w14:paraId="5D88F19A" w14:textId="29A996B9" w:rsidR="00E7799D" w:rsidRDefault="00E779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6A0469" w:rsidRDefault="00C368E1" w:rsidP="00762B7E">
    <w:pPr>
      <w:pStyle w:val="Header"/>
      <w:rPr>
        <w:rFonts w:ascii="Open Sans Light" w:hAnsi="Open Sans Light" w:cs="Open Sans Light"/>
        <w:sz w:val="20"/>
        <w:szCs w:val="20"/>
      </w:rPr>
    </w:pPr>
    <w:r w:rsidRPr="006A0469">
      <w:rPr>
        <w:rFonts w:ascii="Open Sans Light" w:hAnsi="Open Sans Light" w:cs="Open Sans Light"/>
        <w:sz w:val="20"/>
        <w:szCs w:val="20"/>
      </w:rPr>
      <w:t xml:space="preserve">Stressor-Response </w:t>
    </w:r>
    <w:r w:rsidR="00571DE7" w:rsidRPr="006A0469">
      <w:rPr>
        <w:rFonts w:ascii="Open Sans Light" w:hAnsi="Open Sans Light" w:cs="Open Sans Light"/>
        <w:sz w:val="20"/>
        <w:szCs w:val="20"/>
      </w:rPr>
      <w:t xml:space="preserve">Function </w:t>
    </w:r>
    <w:r w:rsidRPr="006A0469">
      <w:rPr>
        <w:rFonts w:ascii="Open Sans Light" w:hAnsi="Open Sans Light" w:cs="Open Sans Light"/>
        <w:sz w:val="20"/>
        <w:szCs w:val="20"/>
      </w:rPr>
      <w:t>Library Documentation</w:t>
    </w:r>
    <w:r w:rsidRPr="006A0469">
      <w:rPr>
        <w:rFonts w:ascii="Open Sans Light" w:hAnsi="Open Sans Light" w:cs="Open Sans Light"/>
        <w:sz w:val="20"/>
        <w:szCs w:val="20"/>
      </w:rPr>
      <w:tab/>
    </w:r>
    <w:r w:rsidRPr="006A0469">
      <w:rPr>
        <w:rFonts w:ascii="Open Sans Light" w:hAnsi="Open Sans Light" w:cs="Open Sans Light"/>
        <w:sz w:val="20"/>
        <w:szCs w:val="20"/>
      </w:rPr>
      <w:tab/>
    </w:r>
    <w:r w:rsidR="00C47B94" w:rsidRPr="006A0469">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oFAFpL5+ctAAAA"/>
  </w:docVars>
  <w:rsids>
    <w:rsidRoot w:val="00EE401F"/>
    <w:rsid w:val="00001D79"/>
    <w:rsid w:val="000029A9"/>
    <w:rsid w:val="0000394A"/>
    <w:rsid w:val="00003B6A"/>
    <w:rsid w:val="00007BF7"/>
    <w:rsid w:val="00010BC2"/>
    <w:rsid w:val="00011382"/>
    <w:rsid w:val="00015839"/>
    <w:rsid w:val="000165A3"/>
    <w:rsid w:val="00016D31"/>
    <w:rsid w:val="00017BF6"/>
    <w:rsid w:val="00020003"/>
    <w:rsid w:val="00021C72"/>
    <w:rsid w:val="00022D3B"/>
    <w:rsid w:val="00022F54"/>
    <w:rsid w:val="00024020"/>
    <w:rsid w:val="00031AD9"/>
    <w:rsid w:val="00032678"/>
    <w:rsid w:val="000355E1"/>
    <w:rsid w:val="00036F9C"/>
    <w:rsid w:val="00041020"/>
    <w:rsid w:val="00041823"/>
    <w:rsid w:val="00041C7F"/>
    <w:rsid w:val="0004418D"/>
    <w:rsid w:val="0004514A"/>
    <w:rsid w:val="000456D5"/>
    <w:rsid w:val="000465B9"/>
    <w:rsid w:val="00052045"/>
    <w:rsid w:val="00060C85"/>
    <w:rsid w:val="00064DDD"/>
    <w:rsid w:val="000668C5"/>
    <w:rsid w:val="000747D3"/>
    <w:rsid w:val="00074C02"/>
    <w:rsid w:val="00074DAE"/>
    <w:rsid w:val="00074E73"/>
    <w:rsid w:val="00080A06"/>
    <w:rsid w:val="00081E0B"/>
    <w:rsid w:val="00082741"/>
    <w:rsid w:val="00084636"/>
    <w:rsid w:val="00084863"/>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DAE"/>
    <w:rsid w:val="000C7EB5"/>
    <w:rsid w:val="000D648C"/>
    <w:rsid w:val="000D77AF"/>
    <w:rsid w:val="000D7BFF"/>
    <w:rsid w:val="000E06EA"/>
    <w:rsid w:val="000E4ACE"/>
    <w:rsid w:val="000F1975"/>
    <w:rsid w:val="0010067A"/>
    <w:rsid w:val="001014FA"/>
    <w:rsid w:val="00102880"/>
    <w:rsid w:val="001037BA"/>
    <w:rsid w:val="00106929"/>
    <w:rsid w:val="00107DC5"/>
    <w:rsid w:val="00111BAA"/>
    <w:rsid w:val="00112C11"/>
    <w:rsid w:val="001149C6"/>
    <w:rsid w:val="00115F06"/>
    <w:rsid w:val="0011633C"/>
    <w:rsid w:val="0011680D"/>
    <w:rsid w:val="00116AFC"/>
    <w:rsid w:val="00117BB2"/>
    <w:rsid w:val="001225FE"/>
    <w:rsid w:val="00122644"/>
    <w:rsid w:val="001242C2"/>
    <w:rsid w:val="001253A5"/>
    <w:rsid w:val="00127D66"/>
    <w:rsid w:val="001305B1"/>
    <w:rsid w:val="00130A42"/>
    <w:rsid w:val="00132D2D"/>
    <w:rsid w:val="001344E2"/>
    <w:rsid w:val="001347E6"/>
    <w:rsid w:val="00137158"/>
    <w:rsid w:val="001376D5"/>
    <w:rsid w:val="001420C8"/>
    <w:rsid w:val="00143A0E"/>
    <w:rsid w:val="001443E1"/>
    <w:rsid w:val="00145862"/>
    <w:rsid w:val="0015496B"/>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7D3"/>
    <w:rsid w:val="001A1DEF"/>
    <w:rsid w:val="001A389E"/>
    <w:rsid w:val="001A3F6C"/>
    <w:rsid w:val="001A4049"/>
    <w:rsid w:val="001B11AE"/>
    <w:rsid w:val="001B3960"/>
    <w:rsid w:val="001B3DAF"/>
    <w:rsid w:val="001B4A0A"/>
    <w:rsid w:val="001B4EDC"/>
    <w:rsid w:val="001B647E"/>
    <w:rsid w:val="001C069F"/>
    <w:rsid w:val="001C09C7"/>
    <w:rsid w:val="001C2775"/>
    <w:rsid w:val="001C367C"/>
    <w:rsid w:val="001C73BB"/>
    <w:rsid w:val="001D28DD"/>
    <w:rsid w:val="001E3E09"/>
    <w:rsid w:val="001F29D3"/>
    <w:rsid w:val="001F3347"/>
    <w:rsid w:val="001F392C"/>
    <w:rsid w:val="001F4971"/>
    <w:rsid w:val="001F7D0E"/>
    <w:rsid w:val="00201E25"/>
    <w:rsid w:val="00206B27"/>
    <w:rsid w:val="00210A53"/>
    <w:rsid w:val="00217798"/>
    <w:rsid w:val="002218D0"/>
    <w:rsid w:val="00222550"/>
    <w:rsid w:val="00224A9A"/>
    <w:rsid w:val="0023029E"/>
    <w:rsid w:val="00235D28"/>
    <w:rsid w:val="00240F5E"/>
    <w:rsid w:val="00241F01"/>
    <w:rsid w:val="002431B0"/>
    <w:rsid w:val="0024683B"/>
    <w:rsid w:val="00247371"/>
    <w:rsid w:val="00250D1B"/>
    <w:rsid w:val="00251E39"/>
    <w:rsid w:val="002547A0"/>
    <w:rsid w:val="002551A5"/>
    <w:rsid w:val="0025717C"/>
    <w:rsid w:val="00265C11"/>
    <w:rsid w:val="0026787C"/>
    <w:rsid w:val="00271AF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3209"/>
    <w:rsid w:val="002E4E13"/>
    <w:rsid w:val="002E5E2A"/>
    <w:rsid w:val="002F3DC8"/>
    <w:rsid w:val="002F5383"/>
    <w:rsid w:val="002F73AA"/>
    <w:rsid w:val="00300033"/>
    <w:rsid w:val="00300110"/>
    <w:rsid w:val="003013BC"/>
    <w:rsid w:val="0030245D"/>
    <w:rsid w:val="00304A1A"/>
    <w:rsid w:val="00304AE7"/>
    <w:rsid w:val="0031740D"/>
    <w:rsid w:val="00320DED"/>
    <w:rsid w:val="00320EFD"/>
    <w:rsid w:val="00321084"/>
    <w:rsid w:val="00321D1F"/>
    <w:rsid w:val="00322182"/>
    <w:rsid w:val="00324260"/>
    <w:rsid w:val="00325F71"/>
    <w:rsid w:val="00326A26"/>
    <w:rsid w:val="0032786E"/>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1AC5"/>
    <w:rsid w:val="003920D0"/>
    <w:rsid w:val="00394F0D"/>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638A"/>
    <w:rsid w:val="003E69F4"/>
    <w:rsid w:val="003E7AD4"/>
    <w:rsid w:val="003F3B60"/>
    <w:rsid w:val="003F3F8D"/>
    <w:rsid w:val="003F4A21"/>
    <w:rsid w:val="00400B85"/>
    <w:rsid w:val="00404994"/>
    <w:rsid w:val="0040533E"/>
    <w:rsid w:val="004061D4"/>
    <w:rsid w:val="004071FF"/>
    <w:rsid w:val="00410060"/>
    <w:rsid w:val="004136A4"/>
    <w:rsid w:val="00420C0B"/>
    <w:rsid w:val="00421B52"/>
    <w:rsid w:val="00422262"/>
    <w:rsid w:val="0042249B"/>
    <w:rsid w:val="00423BFD"/>
    <w:rsid w:val="004273F9"/>
    <w:rsid w:val="00427A71"/>
    <w:rsid w:val="004379D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70F6"/>
    <w:rsid w:val="00477653"/>
    <w:rsid w:val="00481708"/>
    <w:rsid w:val="00481BDA"/>
    <w:rsid w:val="00487475"/>
    <w:rsid w:val="004920B1"/>
    <w:rsid w:val="00496C39"/>
    <w:rsid w:val="00496D5A"/>
    <w:rsid w:val="004972DF"/>
    <w:rsid w:val="004A26D1"/>
    <w:rsid w:val="004A302A"/>
    <w:rsid w:val="004A71F2"/>
    <w:rsid w:val="004B0542"/>
    <w:rsid w:val="004B09D0"/>
    <w:rsid w:val="004B586D"/>
    <w:rsid w:val="004B677E"/>
    <w:rsid w:val="004C174B"/>
    <w:rsid w:val="004C5AA5"/>
    <w:rsid w:val="004D008D"/>
    <w:rsid w:val="004D39BA"/>
    <w:rsid w:val="004D3DB1"/>
    <w:rsid w:val="004D4715"/>
    <w:rsid w:val="004D5FFE"/>
    <w:rsid w:val="004E0BD5"/>
    <w:rsid w:val="004E3452"/>
    <w:rsid w:val="004E3C07"/>
    <w:rsid w:val="004E69D5"/>
    <w:rsid w:val="004E6AD5"/>
    <w:rsid w:val="004F2C82"/>
    <w:rsid w:val="00500E7D"/>
    <w:rsid w:val="00501180"/>
    <w:rsid w:val="00501533"/>
    <w:rsid w:val="005019F0"/>
    <w:rsid w:val="00502AD6"/>
    <w:rsid w:val="005041F9"/>
    <w:rsid w:val="005053F5"/>
    <w:rsid w:val="00505E65"/>
    <w:rsid w:val="0051275E"/>
    <w:rsid w:val="00514290"/>
    <w:rsid w:val="00514F9B"/>
    <w:rsid w:val="00515975"/>
    <w:rsid w:val="005169D1"/>
    <w:rsid w:val="00520662"/>
    <w:rsid w:val="00524C4D"/>
    <w:rsid w:val="005306A4"/>
    <w:rsid w:val="0053105E"/>
    <w:rsid w:val="00533E7D"/>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83E27"/>
    <w:rsid w:val="005926A5"/>
    <w:rsid w:val="00594CC0"/>
    <w:rsid w:val="00595FB4"/>
    <w:rsid w:val="00596459"/>
    <w:rsid w:val="00596BB0"/>
    <w:rsid w:val="005A0F5A"/>
    <w:rsid w:val="005A1365"/>
    <w:rsid w:val="005A25F7"/>
    <w:rsid w:val="005A73D7"/>
    <w:rsid w:val="005A7F70"/>
    <w:rsid w:val="005B3147"/>
    <w:rsid w:val="005B48F0"/>
    <w:rsid w:val="005B4D35"/>
    <w:rsid w:val="005B5293"/>
    <w:rsid w:val="005C225A"/>
    <w:rsid w:val="005C3232"/>
    <w:rsid w:val="005C66A0"/>
    <w:rsid w:val="005C6A5E"/>
    <w:rsid w:val="005C772C"/>
    <w:rsid w:val="005D0508"/>
    <w:rsid w:val="005D0BC4"/>
    <w:rsid w:val="005D4264"/>
    <w:rsid w:val="005D7843"/>
    <w:rsid w:val="005E39C0"/>
    <w:rsid w:val="005E51AC"/>
    <w:rsid w:val="005E5C6C"/>
    <w:rsid w:val="005E6062"/>
    <w:rsid w:val="005F437C"/>
    <w:rsid w:val="005F4DE9"/>
    <w:rsid w:val="005F6146"/>
    <w:rsid w:val="00600A24"/>
    <w:rsid w:val="00602E57"/>
    <w:rsid w:val="00606849"/>
    <w:rsid w:val="0061070A"/>
    <w:rsid w:val="00611788"/>
    <w:rsid w:val="006132C7"/>
    <w:rsid w:val="00614D1D"/>
    <w:rsid w:val="006201B8"/>
    <w:rsid w:val="00622711"/>
    <w:rsid w:val="00622EF3"/>
    <w:rsid w:val="00625410"/>
    <w:rsid w:val="0062561B"/>
    <w:rsid w:val="00627FCD"/>
    <w:rsid w:val="0063042B"/>
    <w:rsid w:val="00631790"/>
    <w:rsid w:val="006349CC"/>
    <w:rsid w:val="0063514A"/>
    <w:rsid w:val="00637CC4"/>
    <w:rsid w:val="00644CFA"/>
    <w:rsid w:val="006459C3"/>
    <w:rsid w:val="00646487"/>
    <w:rsid w:val="00653887"/>
    <w:rsid w:val="00654224"/>
    <w:rsid w:val="00661F88"/>
    <w:rsid w:val="006625DD"/>
    <w:rsid w:val="00662827"/>
    <w:rsid w:val="00663663"/>
    <w:rsid w:val="006654A6"/>
    <w:rsid w:val="00665B9C"/>
    <w:rsid w:val="0067196A"/>
    <w:rsid w:val="00672B41"/>
    <w:rsid w:val="00676D63"/>
    <w:rsid w:val="0068382E"/>
    <w:rsid w:val="006866CA"/>
    <w:rsid w:val="0068676B"/>
    <w:rsid w:val="00686D28"/>
    <w:rsid w:val="00693A57"/>
    <w:rsid w:val="006956E1"/>
    <w:rsid w:val="006A0469"/>
    <w:rsid w:val="006A1599"/>
    <w:rsid w:val="006A1B46"/>
    <w:rsid w:val="006A511C"/>
    <w:rsid w:val="006A6D47"/>
    <w:rsid w:val="006A7DE6"/>
    <w:rsid w:val="006B1C4D"/>
    <w:rsid w:val="006B3294"/>
    <w:rsid w:val="006B5A6A"/>
    <w:rsid w:val="006B6B08"/>
    <w:rsid w:val="006C2907"/>
    <w:rsid w:val="006C4BAD"/>
    <w:rsid w:val="006C5CF9"/>
    <w:rsid w:val="006C7E2D"/>
    <w:rsid w:val="006D111D"/>
    <w:rsid w:val="006D2844"/>
    <w:rsid w:val="006D6A89"/>
    <w:rsid w:val="006E08B8"/>
    <w:rsid w:val="006E11D4"/>
    <w:rsid w:val="006E1226"/>
    <w:rsid w:val="006F0CBD"/>
    <w:rsid w:val="006F0E0E"/>
    <w:rsid w:val="006F2F31"/>
    <w:rsid w:val="006F4B76"/>
    <w:rsid w:val="007029D7"/>
    <w:rsid w:val="007118DB"/>
    <w:rsid w:val="0071291D"/>
    <w:rsid w:val="00712C79"/>
    <w:rsid w:val="00717CE9"/>
    <w:rsid w:val="00717D00"/>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0911"/>
    <w:rsid w:val="00772980"/>
    <w:rsid w:val="00774FA2"/>
    <w:rsid w:val="00780CAB"/>
    <w:rsid w:val="007816A5"/>
    <w:rsid w:val="00781A4D"/>
    <w:rsid w:val="007823A9"/>
    <w:rsid w:val="00784189"/>
    <w:rsid w:val="007870EA"/>
    <w:rsid w:val="00790181"/>
    <w:rsid w:val="0079062E"/>
    <w:rsid w:val="00790908"/>
    <w:rsid w:val="00790F57"/>
    <w:rsid w:val="007910E8"/>
    <w:rsid w:val="0079771C"/>
    <w:rsid w:val="007A0324"/>
    <w:rsid w:val="007A0FA1"/>
    <w:rsid w:val="007A3ED0"/>
    <w:rsid w:val="007A4AA7"/>
    <w:rsid w:val="007B05B1"/>
    <w:rsid w:val="007B6CE8"/>
    <w:rsid w:val="007C426F"/>
    <w:rsid w:val="007C60FC"/>
    <w:rsid w:val="007D2E41"/>
    <w:rsid w:val="007D2FA6"/>
    <w:rsid w:val="007D6978"/>
    <w:rsid w:val="007E0627"/>
    <w:rsid w:val="007E2557"/>
    <w:rsid w:val="007E68EA"/>
    <w:rsid w:val="007E7575"/>
    <w:rsid w:val="007E7FF0"/>
    <w:rsid w:val="007F0126"/>
    <w:rsid w:val="007F2ACE"/>
    <w:rsid w:val="007F40AE"/>
    <w:rsid w:val="007F46B1"/>
    <w:rsid w:val="007F4D0D"/>
    <w:rsid w:val="007F5F85"/>
    <w:rsid w:val="007F65BD"/>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A2D"/>
    <w:rsid w:val="00827E39"/>
    <w:rsid w:val="0083033B"/>
    <w:rsid w:val="00831C16"/>
    <w:rsid w:val="0083377C"/>
    <w:rsid w:val="008412C2"/>
    <w:rsid w:val="00841437"/>
    <w:rsid w:val="0084446A"/>
    <w:rsid w:val="00846258"/>
    <w:rsid w:val="00852726"/>
    <w:rsid w:val="008534F7"/>
    <w:rsid w:val="0085518E"/>
    <w:rsid w:val="00871295"/>
    <w:rsid w:val="008722ED"/>
    <w:rsid w:val="0087429C"/>
    <w:rsid w:val="0087480D"/>
    <w:rsid w:val="00874ACE"/>
    <w:rsid w:val="00875CBF"/>
    <w:rsid w:val="00876FEA"/>
    <w:rsid w:val="008777C6"/>
    <w:rsid w:val="00877AAD"/>
    <w:rsid w:val="00880CC2"/>
    <w:rsid w:val="008829F9"/>
    <w:rsid w:val="008874F0"/>
    <w:rsid w:val="00887B95"/>
    <w:rsid w:val="00890794"/>
    <w:rsid w:val="00891509"/>
    <w:rsid w:val="00892A10"/>
    <w:rsid w:val="00895151"/>
    <w:rsid w:val="00896BAA"/>
    <w:rsid w:val="008A6203"/>
    <w:rsid w:val="008A6540"/>
    <w:rsid w:val="008A7FCC"/>
    <w:rsid w:val="008B15B7"/>
    <w:rsid w:val="008B3E9F"/>
    <w:rsid w:val="008B7276"/>
    <w:rsid w:val="008C1604"/>
    <w:rsid w:val="008C2944"/>
    <w:rsid w:val="008C3F01"/>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5B89"/>
    <w:rsid w:val="009424C3"/>
    <w:rsid w:val="009432D2"/>
    <w:rsid w:val="0094339C"/>
    <w:rsid w:val="00943FA1"/>
    <w:rsid w:val="00945E99"/>
    <w:rsid w:val="009467B7"/>
    <w:rsid w:val="00951EA7"/>
    <w:rsid w:val="009552F3"/>
    <w:rsid w:val="009605FB"/>
    <w:rsid w:val="00964506"/>
    <w:rsid w:val="00966667"/>
    <w:rsid w:val="0097078D"/>
    <w:rsid w:val="00972BF4"/>
    <w:rsid w:val="00973627"/>
    <w:rsid w:val="009761D9"/>
    <w:rsid w:val="009765D3"/>
    <w:rsid w:val="00976BD5"/>
    <w:rsid w:val="009809ED"/>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445C"/>
    <w:rsid w:val="009D6BE2"/>
    <w:rsid w:val="009D7644"/>
    <w:rsid w:val="009D7891"/>
    <w:rsid w:val="009E3D28"/>
    <w:rsid w:val="009E3F56"/>
    <w:rsid w:val="009E485D"/>
    <w:rsid w:val="009E609D"/>
    <w:rsid w:val="009E6618"/>
    <w:rsid w:val="009E701F"/>
    <w:rsid w:val="009F10C6"/>
    <w:rsid w:val="009F29D2"/>
    <w:rsid w:val="009F51C0"/>
    <w:rsid w:val="009F6A18"/>
    <w:rsid w:val="00A01422"/>
    <w:rsid w:val="00A015EA"/>
    <w:rsid w:val="00A01735"/>
    <w:rsid w:val="00A027D2"/>
    <w:rsid w:val="00A02836"/>
    <w:rsid w:val="00A1195F"/>
    <w:rsid w:val="00A12D3B"/>
    <w:rsid w:val="00A14C35"/>
    <w:rsid w:val="00A15475"/>
    <w:rsid w:val="00A16A3C"/>
    <w:rsid w:val="00A16D70"/>
    <w:rsid w:val="00A23111"/>
    <w:rsid w:val="00A23990"/>
    <w:rsid w:val="00A23AD7"/>
    <w:rsid w:val="00A37B71"/>
    <w:rsid w:val="00A42A3D"/>
    <w:rsid w:val="00A42EEF"/>
    <w:rsid w:val="00A431DF"/>
    <w:rsid w:val="00A43866"/>
    <w:rsid w:val="00A43DA1"/>
    <w:rsid w:val="00A4414A"/>
    <w:rsid w:val="00A476F5"/>
    <w:rsid w:val="00A53757"/>
    <w:rsid w:val="00A55B49"/>
    <w:rsid w:val="00A63DA5"/>
    <w:rsid w:val="00A64CC8"/>
    <w:rsid w:val="00A64F90"/>
    <w:rsid w:val="00A71065"/>
    <w:rsid w:val="00A7119F"/>
    <w:rsid w:val="00A723D6"/>
    <w:rsid w:val="00A740B2"/>
    <w:rsid w:val="00A75470"/>
    <w:rsid w:val="00A827DA"/>
    <w:rsid w:val="00A84031"/>
    <w:rsid w:val="00A844BB"/>
    <w:rsid w:val="00A85FC7"/>
    <w:rsid w:val="00A90D79"/>
    <w:rsid w:val="00A91FC4"/>
    <w:rsid w:val="00A92F1E"/>
    <w:rsid w:val="00A93859"/>
    <w:rsid w:val="00A949D2"/>
    <w:rsid w:val="00A97FEC"/>
    <w:rsid w:val="00AA0B1F"/>
    <w:rsid w:val="00AA1004"/>
    <w:rsid w:val="00AA2408"/>
    <w:rsid w:val="00AA3B6D"/>
    <w:rsid w:val="00AA785F"/>
    <w:rsid w:val="00AB0918"/>
    <w:rsid w:val="00AB1878"/>
    <w:rsid w:val="00AB31E4"/>
    <w:rsid w:val="00AB3C44"/>
    <w:rsid w:val="00AB4832"/>
    <w:rsid w:val="00AB5065"/>
    <w:rsid w:val="00AB5710"/>
    <w:rsid w:val="00AB5E48"/>
    <w:rsid w:val="00AC1984"/>
    <w:rsid w:val="00AC346A"/>
    <w:rsid w:val="00AC3670"/>
    <w:rsid w:val="00AC61EF"/>
    <w:rsid w:val="00AC7CC4"/>
    <w:rsid w:val="00AD13CC"/>
    <w:rsid w:val="00AD504E"/>
    <w:rsid w:val="00AD5CD0"/>
    <w:rsid w:val="00AD6DA4"/>
    <w:rsid w:val="00AE0659"/>
    <w:rsid w:val="00AE1541"/>
    <w:rsid w:val="00AE34E4"/>
    <w:rsid w:val="00AE3534"/>
    <w:rsid w:val="00AE46D1"/>
    <w:rsid w:val="00AE6E92"/>
    <w:rsid w:val="00AF0044"/>
    <w:rsid w:val="00AF0900"/>
    <w:rsid w:val="00AF11A3"/>
    <w:rsid w:val="00AF20AC"/>
    <w:rsid w:val="00AF2A03"/>
    <w:rsid w:val="00AF2CBF"/>
    <w:rsid w:val="00AF457F"/>
    <w:rsid w:val="00AF46BA"/>
    <w:rsid w:val="00AF5EE3"/>
    <w:rsid w:val="00AF6401"/>
    <w:rsid w:val="00B0308E"/>
    <w:rsid w:val="00B035F5"/>
    <w:rsid w:val="00B03D59"/>
    <w:rsid w:val="00B14FEC"/>
    <w:rsid w:val="00B15CF7"/>
    <w:rsid w:val="00B175C6"/>
    <w:rsid w:val="00B2188D"/>
    <w:rsid w:val="00B2301D"/>
    <w:rsid w:val="00B236D7"/>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620A2"/>
    <w:rsid w:val="00B62FE8"/>
    <w:rsid w:val="00B75D7A"/>
    <w:rsid w:val="00B818C3"/>
    <w:rsid w:val="00B849E7"/>
    <w:rsid w:val="00B84C3C"/>
    <w:rsid w:val="00B84CFB"/>
    <w:rsid w:val="00B909A3"/>
    <w:rsid w:val="00B93E65"/>
    <w:rsid w:val="00B94A00"/>
    <w:rsid w:val="00BA1A3E"/>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6BC7"/>
    <w:rsid w:val="00BE751C"/>
    <w:rsid w:val="00BF00AC"/>
    <w:rsid w:val="00BF0E91"/>
    <w:rsid w:val="00BF54C8"/>
    <w:rsid w:val="00C00911"/>
    <w:rsid w:val="00C01EA0"/>
    <w:rsid w:val="00C02476"/>
    <w:rsid w:val="00C05F14"/>
    <w:rsid w:val="00C1060B"/>
    <w:rsid w:val="00C13433"/>
    <w:rsid w:val="00C14ADF"/>
    <w:rsid w:val="00C22AFC"/>
    <w:rsid w:val="00C22FF5"/>
    <w:rsid w:val="00C23194"/>
    <w:rsid w:val="00C26A89"/>
    <w:rsid w:val="00C27330"/>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70AEB"/>
    <w:rsid w:val="00C739AD"/>
    <w:rsid w:val="00C74CEB"/>
    <w:rsid w:val="00C836C2"/>
    <w:rsid w:val="00C84FB9"/>
    <w:rsid w:val="00C9018B"/>
    <w:rsid w:val="00C92081"/>
    <w:rsid w:val="00C92DF6"/>
    <w:rsid w:val="00C93558"/>
    <w:rsid w:val="00C943CD"/>
    <w:rsid w:val="00C96871"/>
    <w:rsid w:val="00C97750"/>
    <w:rsid w:val="00CA40F9"/>
    <w:rsid w:val="00CA78B3"/>
    <w:rsid w:val="00CB52DE"/>
    <w:rsid w:val="00CB5E90"/>
    <w:rsid w:val="00CC18BE"/>
    <w:rsid w:val="00CC20F2"/>
    <w:rsid w:val="00CC2DBB"/>
    <w:rsid w:val="00CD1552"/>
    <w:rsid w:val="00CD1F35"/>
    <w:rsid w:val="00CE25DD"/>
    <w:rsid w:val="00CE3941"/>
    <w:rsid w:val="00CE589E"/>
    <w:rsid w:val="00CE7299"/>
    <w:rsid w:val="00CE7582"/>
    <w:rsid w:val="00CE77FD"/>
    <w:rsid w:val="00CE79C6"/>
    <w:rsid w:val="00CF62DE"/>
    <w:rsid w:val="00CF664F"/>
    <w:rsid w:val="00CF7817"/>
    <w:rsid w:val="00D02134"/>
    <w:rsid w:val="00D03CDD"/>
    <w:rsid w:val="00D04DCB"/>
    <w:rsid w:val="00D065C4"/>
    <w:rsid w:val="00D120B2"/>
    <w:rsid w:val="00D12381"/>
    <w:rsid w:val="00D13480"/>
    <w:rsid w:val="00D16993"/>
    <w:rsid w:val="00D16A17"/>
    <w:rsid w:val="00D21B73"/>
    <w:rsid w:val="00D2254D"/>
    <w:rsid w:val="00D231F6"/>
    <w:rsid w:val="00D2377A"/>
    <w:rsid w:val="00D237DE"/>
    <w:rsid w:val="00D2507C"/>
    <w:rsid w:val="00D252CA"/>
    <w:rsid w:val="00D255DB"/>
    <w:rsid w:val="00D30BA6"/>
    <w:rsid w:val="00D30CAD"/>
    <w:rsid w:val="00D365FB"/>
    <w:rsid w:val="00D3684E"/>
    <w:rsid w:val="00D373AB"/>
    <w:rsid w:val="00D37AB6"/>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2F85"/>
    <w:rsid w:val="00D93E97"/>
    <w:rsid w:val="00DA0205"/>
    <w:rsid w:val="00DA4E15"/>
    <w:rsid w:val="00DA5045"/>
    <w:rsid w:val="00DB1105"/>
    <w:rsid w:val="00DB2F53"/>
    <w:rsid w:val="00DB698B"/>
    <w:rsid w:val="00DC4A6C"/>
    <w:rsid w:val="00DC5992"/>
    <w:rsid w:val="00DD41C0"/>
    <w:rsid w:val="00DD4296"/>
    <w:rsid w:val="00DD4CEB"/>
    <w:rsid w:val="00DD531D"/>
    <w:rsid w:val="00DD5463"/>
    <w:rsid w:val="00DD7766"/>
    <w:rsid w:val="00DE14D0"/>
    <w:rsid w:val="00DE1631"/>
    <w:rsid w:val="00DE1D85"/>
    <w:rsid w:val="00DE6154"/>
    <w:rsid w:val="00E0017B"/>
    <w:rsid w:val="00E00EB1"/>
    <w:rsid w:val="00E07EC8"/>
    <w:rsid w:val="00E11941"/>
    <w:rsid w:val="00E12A95"/>
    <w:rsid w:val="00E15218"/>
    <w:rsid w:val="00E17A69"/>
    <w:rsid w:val="00E26961"/>
    <w:rsid w:val="00E32C93"/>
    <w:rsid w:val="00E37D6B"/>
    <w:rsid w:val="00E407CF"/>
    <w:rsid w:val="00E422DB"/>
    <w:rsid w:val="00E42F4C"/>
    <w:rsid w:val="00E44402"/>
    <w:rsid w:val="00E44F2B"/>
    <w:rsid w:val="00E4625D"/>
    <w:rsid w:val="00E462B5"/>
    <w:rsid w:val="00E50908"/>
    <w:rsid w:val="00E53989"/>
    <w:rsid w:val="00E54A8D"/>
    <w:rsid w:val="00E553D9"/>
    <w:rsid w:val="00E6113B"/>
    <w:rsid w:val="00E637A5"/>
    <w:rsid w:val="00E662BD"/>
    <w:rsid w:val="00E67EC7"/>
    <w:rsid w:val="00E724E3"/>
    <w:rsid w:val="00E7799D"/>
    <w:rsid w:val="00E80538"/>
    <w:rsid w:val="00E83236"/>
    <w:rsid w:val="00E86C92"/>
    <w:rsid w:val="00E906CF"/>
    <w:rsid w:val="00E91673"/>
    <w:rsid w:val="00E9180C"/>
    <w:rsid w:val="00E95BB4"/>
    <w:rsid w:val="00E962EA"/>
    <w:rsid w:val="00EA091E"/>
    <w:rsid w:val="00EA23D9"/>
    <w:rsid w:val="00EA7F8B"/>
    <w:rsid w:val="00EB47C0"/>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7054"/>
    <w:rsid w:val="00F074FB"/>
    <w:rsid w:val="00F123F5"/>
    <w:rsid w:val="00F12F30"/>
    <w:rsid w:val="00F13E6E"/>
    <w:rsid w:val="00F1520C"/>
    <w:rsid w:val="00F15372"/>
    <w:rsid w:val="00F160F5"/>
    <w:rsid w:val="00F166D1"/>
    <w:rsid w:val="00F23666"/>
    <w:rsid w:val="00F273AA"/>
    <w:rsid w:val="00F313F1"/>
    <w:rsid w:val="00F32113"/>
    <w:rsid w:val="00F3219B"/>
    <w:rsid w:val="00F32B87"/>
    <w:rsid w:val="00F430C1"/>
    <w:rsid w:val="00F46473"/>
    <w:rsid w:val="00F46955"/>
    <w:rsid w:val="00F6273B"/>
    <w:rsid w:val="00F63384"/>
    <w:rsid w:val="00F66A54"/>
    <w:rsid w:val="00F6787C"/>
    <w:rsid w:val="00F73550"/>
    <w:rsid w:val="00F73BCA"/>
    <w:rsid w:val="00F73ECA"/>
    <w:rsid w:val="00F74C4B"/>
    <w:rsid w:val="00F7501A"/>
    <w:rsid w:val="00F76B3F"/>
    <w:rsid w:val="00F77951"/>
    <w:rsid w:val="00F810BF"/>
    <w:rsid w:val="00F82E40"/>
    <w:rsid w:val="00F868A0"/>
    <w:rsid w:val="00F91C01"/>
    <w:rsid w:val="00F95690"/>
    <w:rsid w:val="00F9790F"/>
    <w:rsid w:val="00FA06CF"/>
    <w:rsid w:val="00FA2F87"/>
    <w:rsid w:val="00FA3DBD"/>
    <w:rsid w:val="00FA6F19"/>
    <w:rsid w:val="00FA7AB8"/>
    <w:rsid w:val="00FB0A87"/>
    <w:rsid w:val="00FB106F"/>
    <w:rsid w:val="00FB3F06"/>
    <w:rsid w:val="00FB51FE"/>
    <w:rsid w:val="00FB6946"/>
    <w:rsid w:val="00FB7841"/>
    <w:rsid w:val="00FC5574"/>
    <w:rsid w:val="00FD3BF8"/>
    <w:rsid w:val="00FD4547"/>
    <w:rsid w:val="00FD51DB"/>
    <w:rsid w:val="00FD523E"/>
    <w:rsid w:val="00FD6DE6"/>
    <w:rsid w:val="00FE0CD4"/>
    <w:rsid w:val="00FE0E31"/>
    <w:rsid w:val="00FE1734"/>
    <w:rsid w:val="00FE22CD"/>
    <w:rsid w:val="00FE5BE6"/>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2275">
      <w:bodyDiv w:val="1"/>
      <w:marLeft w:val="0"/>
      <w:marRight w:val="0"/>
      <w:marTop w:val="0"/>
      <w:marBottom w:val="0"/>
      <w:divBdr>
        <w:top w:val="none" w:sz="0" w:space="0" w:color="auto"/>
        <w:left w:val="none" w:sz="0" w:space="0" w:color="auto"/>
        <w:bottom w:val="none" w:sz="0" w:space="0" w:color="auto"/>
        <w:right w:val="none" w:sz="0" w:space="0" w:color="auto"/>
      </w:divBdr>
    </w:div>
    <w:div w:id="580021970">
      <w:bodyDiv w:val="1"/>
      <w:marLeft w:val="0"/>
      <w:marRight w:val="0"/>
      <w:marTop w:val="0"/>
      <w:marBottom w:val="0"/>
      <w:divBdr>
        <w:top w:val="none" w:sz="0" w:space="0" w:color="auto"/>
        <w:left w:val="none" w:sz="0" w:space="0" w:color="auto"/>
        <w:bottom w:val="none" w:sz="0" w:space="0" w:color="auto"/>
        <w:right w:val="none" w:sz="0" w:space="0" w:color="auto"/>
      </w:divBdr>
    </w:div>
    <w:div w:id="703212974">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7</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898</cp:revision>
  <dcterms:created xsi:type="dcterms:W3CDTF">2023-02-27T19:43:00Z</dcterms:created>
  <dcterms:modified xsi:type="dcterms:W3CDTF">2024-03-20T03:55:00Z</dcterms:modified>
</cp:coreProperties>
</file>