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9FDCA1" w14:textId="7AE32CFF" w:rsidR="3721CB8D" w:rsidRPr="005949EB" w:rsidRDefault="00543319" w:rsidP="00E962EA">
      <w:pPr>
        <w:pStyle w:val="Heading1"/>
        <w:keepNext w:val="0"/>
        <w:keepLines w:val="0"/>
        <w:widowControl w:val="0"/>
        <w:spacing w:before="0" w:line="240" w:lineRule="auto"/>
        <w:rPr>
          <w:rFonts w:ascii="Open Sans SemiBold" w:hAnsi="Open Sans SemiBold" w:cs="Open Sans SemiBold"/>
          <w:color w:val="004848"/>
        </w:rPr>
      </w:pPr>
      <w:r w:rsidRPr="005949EB">
        <w:rPr>
          <w:rFonts w:ascii="Open Sans SemiBold" w:hAnsi="Open Sans SemiBold" w:cs="Open Sans SemiBold"/>
          <w:color w:val="004848"/>
        </w:rPr>
        <w:t>Summary:</w:t>
      </w:r>
      <w:r w:rsidR="00661F88" w:rsidRPr="005949EB">
        <w:rPr>
          <w:rFonts w:ascii="Open Sans SemiBold" w:hAnsi="Open Sans SemiBold" w:cs="Open Sans SemiBold"/>
          <w:color w:val="004848"/>
        </w:rPr>
        <w:t xml:space="preserve"> </w:t>
      </w:r>
      <w:r w:rsidR="00394B5C">
        <w:rPr>
          <w:rFonts w:ascii="Open Sans SemiBold" w:hAnsi="Open Sans SemiBold" w:cs="Open Sans SemiBold"/>
          <w:color w:val="004848"/>
        </w:rPr>
        <w:t xml:space="preserve">Water </w:t>
      </w:r>
      <w:r w:rsidR="00E1209F" w:rsidRPr="005949EB">
        <w:rPr>
          <w:rFonts w:ascii="Open Sans SemiBold" w:hAnsi="Open Sans SemiBold" w:cs="Open Sans SemiBold"/>
          <w:color w:val="004848"/>
        </w:rPr>
        <w:t xml:space="preserve">Temperature </w:t>
      </w:r>
      <w:r w:rsidRPr="005949EB">
        <w:rPr>
          <w:rFonts w:ascii="Open Sans SemiBold" w:hAnsi="Open Sans SemiBold" w:cs="Open Sans SemiBold"/>
          <w:color w:val="004848"/>
        </w:rPr>
        <w:t xml:space="preserve">and </w:t>
      </w:r>
      <w:r w:rsidR="00394B5C">
        <w:rPr>
          <w:rFonts w:ascii="Open Sans SemiBold" w:hAnsi="Open Sans SemiBold" w:cs="Open Sans SemiBold"/>
          <w:color w:val="004848"/>
        </w:rPr>
        <w:t>System Capacity</w:t>
      </w:r>
      <w:r w:rsidR="00194DC1">
        <w:rPr>
          <w:rFonts w:ascii="Open Sans SemiBold" w:hAnsi="Open Sans SemiBold" w:cs="Open Sans SemiBold"/>
          <w:color w:val="004848"/>
        </w:rPr>
        <w:t xml:space="preserve"> for </w:t>
      </w:r>
      <w:r w:rsidR="00A84C72">
        <w:rPr>
          <w:rFonts w:ascii="Open Sans SemiBold" w:hAnsi="Open Sans SemiBold" w:cs="Open Sans SemiBold"/>
          <w:color w:val="004848"/>
        </w:rPr>
        <w:t>Salish Sucker</w:t>
      </w:r>
    </w:p>
    <w:p w14:paraId="3F0191E4" w14:textId="3AB346B5" w:rsidR="3EB168DF" w:rsidRPr="005949EB" w:rsidRDefault="00A50038" w:rsidP="00E962EA">
      <w:pPr>
        <w:widowControl w:val="0"/>
        <w:spacing w:after="0" w:line="240" w:lineRule="auto"/>
        <w:rPr>
          <w:rFonts w:ascii="Open Sans SemiBold" w:hAnsi="Open Sans SemiBold" w:cs="Open Sans SemiBold"/>
        </w:rPr>
      </w:pPr>
      <w:r>
        <w:rPr>
          <w:rFonts w:ascii="Open Sans" w:hAnsi="Open Sans" w:cs="Open Sans"/>
          <w:noProof/>
          <w:sz w:val="24"/>
          <w:szCs w:val="24"/>
        </w:rPr>
        <w:drawing>
          <wp:anchor distT="0" distB="0" distL="114300" distR="114300" simplePos="0" relativeHeight="251658240" behindDoc="0" locked="0" layoutInCell="1" allowOverlap="1" wp14:anchorId="4C9CE1D3" wp14:editId="7198ABAD">
            <wp:simplePos x="0" y="0"/>
            <wp:positionH relativeFrom="column">
              <wp:posOffset>2468880</wp:posOffset>
            </wp:positionH>
            <wp:positionV relativeFrom="paragraph">
              <wp:posOffset>109220</wp:posOffset>
            </wp:positionV>
            <wp:extent cx="3947160" cy="1905000"/>
            <wp:effectExtent l="0" t="0" r="0" b="0"/>
            <wp:wrapSquare wrapText="bothSides"/>
            <wp:docPr id="16682709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47160" cy="1905000"/>
                    </a:xfrm>
                    <a:prstGeom prst="rect">
                      <a:avLst/>
                    </a:prstGeom>
                    <a:noFill/>
                  </pic:spPr>
                </pic:pic>
              </a:graphicData>
            </a:graphic>
            <wp14:sizeRelH relativeFrom="page">
              <wp14:pctWidth>0</wp14:pctWidth>
            </wp14:sizeRelH>
            <wp14:sizeRelV relativeFrom="page">
              <wp14:pctHeight>0</wp14:pctHeight>
            </wp14:sizeRelV>
          </wp:anchor>
        </w:drawing>
      </w:r>
    </w:p>
    <w:p w14:paraId="06A1D258" w14:textId="40E8B6A2" w:rsidR="00AA73D6" w:rsidRDefault="00D065C4" w:rsidP="00AA73D6">
      <w:pPr>
        <w:pStyle w:val="Heading1"/>
        <w:keepNext w:val="0"/>
        <w:keepLines w:val="0"/>
        <w:widowControl w:val="0"/>
        <w:spacing w:before="0" w:line="240" w:lineRule="auto"/>
        <w:ind w:left="1276" w:hanging="1276"/>
        <w:rPr>
          <w:rFonts w:ascii="Open Sans" w:eastAsiaTheme="minorEastAsia" w:hAnsi="Open Sans" w:cs="Open Sans"/>
          <w:color w:val="auto"/>
          <w:sz w:val="24"/>
          <w:szCs w:val="24"/>
        </w:rPr>
      </w:pPr>
      <w:r w:rsidRPr="005949EB">
        <w:rPr>
          <w:rFonts w:ascii="Open Sans SemiBold" w:hAnsi="Open Sans SemiBold" w:cs="Open Sans SemiBold"/>
          <w:sz w:val="28"/>
          <w:szCs w:val="28"/>
          <w:u w:val="single"/>
        </w:rPr>
        <w:t>Stressor</w:t>
      </w:r>
      <w:r w:rsidRPr="005949EB">
        <w:rPr>
          <w:rFonts w:ascii="Open Sans SemiBold" w:hAnsi="Open Sans SemiBold" w:cs="Open Sans SemiBold"/>
          <w:b/>
          <w:bCs/>
          <w:sz w:val="28"/>
          <w:szCs w:val="28"/>
          <w:u w:val="single"/>
        </w:rPr>
        <w:t>:</w:t>
      </w:r>
      <w:r w:rsidRPr="005949EB">
        <w:rPr>
          <w:rFonts w:ascii="Open Sans" w:hAnsi="Open Sans" w:cs="Open Sans"/>
        </w:rPr>
        <w:t xml:space="preserve"> </w:t>
      </w:r>
      <w:r w:rsidR="008468B2" w:rsidRPr="00394B5C">
        <w:rPr>
          <w:rFonts w:ascii="Open Sans" w:hAnsi="Open Sans" w:cs="Open Sans"/>
          <w:color w:val="auto"/>
          <w:sz w:val="22"/>
          <w:szCs w:val="22"/>
        </w:rPr>
        <w:t>Water</w:t>
      </w:r>
      <w:r w:rsidR="00AA73D6">
        <w:rPr>
          <w:rFonts w:ascii="Open Sans" w:hAnsi="Open Sans" w:cs="Open Sans"/>
          <w:color w:val="auto"/>
        </w:rPr>
        <w:t xml:space="preserve"> </w:t>
      </w:r>
      <w:r w:rsidR="00E1209F" w:rsidRPr="005949EB">
        <w:rPr>
          <w:rFonts w:ascii="Open Sans" w:eastAsiaTheme="minorEastAsia" w:hAnsi="Open Sans" w:cs="Open Sans"/>
          <w:color w:val="auto"/>
          <w:sz w:val="24"/>
          <w:szCs w:val="24"/>
        </w:rPr>
        <w:t>Temperature</w:t>
      </w:r>
      <w:r w:rsidR="00EF5CBB" w:rsidRPr="005949EB">
        <w:rPr>
          <w:rFonts w:ascii="Open Sans" w:eastAsiaTheme="minorEastAsia" w:hAnsi="Open Sans" w:cs="Open Sans"/>
          <w:color w:val="auto"/>
          <w:sz w:val="24"/>
          <w:szCs w:val="24"/>
        </w:rPr>
        <w:t xml:space="preserve"> </w:t>
      </w:r>
      <w:r w:rsidR="00AA73D6">
        <w:rPr>
          <w:rFonts w:ascii="Open Sans" w:eastAsiaTheme="minorEastAsia" w:hAnsi="Open Sans" w:cs="Open Sans"/>
          <w:color w:val="auto"/>
          <w:sz w:val="24"/>
          <w:szCs w:val="24"/>
        </w:rPr>
        <w:t xml:space="preserve">                             </w:t>
      </w:r>
    </w:p>
    <w:p w14:paraId="07F84CD3" w14:textId="2B499CE1" w:rsidR="004F3D72" w:rsidRPr="005949EB" w:rsidRDefault="00AA73D6" w:rsidP="00AA73D6">
      <w:pPr>
        <w:pStyle w:val="Heading1"/>
        <w:keepNext w:val="0"/>
        <w:keepLines w:val="0"/>
        <w:widowControl w:val="0"/>
        <w:spacing w:before="0" w:line="240" w:lineRule="auto"/>
        <w:ind w:left="1276" w:hanging="1276"/>
        <w:rPr>
          <w:rFonts w:ascii="Open Sans" w:eastAsiaTheme="minorEastAsia" w:hAnsi="Open Sans" w:cs="Open Sans"/>
          <w:color w:val="auto"/>
          <w:sz w:val="24"/>
          <w:szCs w:val="24"/>
        </w:rPr>
      </w:pPr>
      <w:r>
        <w:rPr>
          <w:rFonts w:ascii="Open Sans" w:eastAsiaTheme="minorEastAsia" w:hAnsi="Open Sans" w:cs="Open Sans"/>
          <w:color w:val="auto"/>
          <w:sz w:val="24"/>
          <w:szCs w:val="24"/>
        </w:rPr>
        <w:t xml:space="preserve">                     </w:t>
      </w:r>
      <w:r w:rsidR="00EF5CBB" w:rsidRPr="00F31351">
        <w:rPr>
          <w:rFonts w:ascii="Open Sans" w:eastAsiaTheme="minorEastAsia" w:hAnsi="Open Sans" w:cs="Open Sans"/>
          <w:color w:val="auto"/>
          <w:sz w:val="24"/>
          <w:szCs w:val="24"/>
        </w:rPr>
        <w:t>(</w:t>
      </w:r>
      <w:r w:rsidR="004F3D72" w:rsidRPr="00F31351">
        <w:rPr>
          <w:rFonts w:ascii="Open Sans" w:eastAsiaTheme="minorEastAsia" w:hAnsi="Open Sans" w:cs="Open Sans"/>
          <w:color w:val="auto"/>
          <w:sz w:val="24"/>
          <w:szCs w:val="24"/>
          <w:vertAlign w:val="superscript"/>
        </w:rPr>
        <w:t>o</w:t>
      </w:r>
      <w:r w:rsidR="004F3D72" w:rsidRPr="00F31351">
        <w:rPr>
          <w:rFonts w:ascii="Open Sans" w:eastAsiaTheme="minorEastAsia" w:hAnsi="Open Sans" w:cs="Open Sans"/>
          <w:color w:val="auto"/>
          <w:sz w:val="24"/>
          <w:szCs w:val="24"/>
        </w:rPr>
        <w:t>C)</w:t>
      </w:r>
      <w:r w:rsidR="00B96B44" w:rsidRPr="00F31351">
        <w:rPr>
          <w:color w:val="auto"/>
        </w:rPr>
        <w:t xml:space="preserve"> </w:t>
      </w:r>
    </w:p>
    <w:p w14:paraId="504D6B01" w14:textId="3A96203C" w:rsidR="00E962EA" w:rsidRPr="005949EB" w:rsidRDefault="00E962EA" w:rsidP="00E962EA">
      <w:pPr>
        <w:spacing w:after="0" w:line="240" w:lineRule="auto"/>
        <w:ind w:left="1440" w:hanging="1440"/>
      </w:pPr>
    </w:p>
    <w:p w14:paraId="0705F895" w14:textId="31FA998F" w:rsidR="004136A4" w:rsidRPr="00AA73D6" w:rsidRDefault="00041823" w:rsidP="00AA73D6">
      <w:pPr>
        <w:pStyle w:val="Heading1"/>
        <w:keepNext w:val="0"/>
        <w:keepLines w:val="0"/>
        <w:widowControl w:val="0"/>
        <w:spacing w:before="0" w:line="240" w:lineRule="auto"/>
        <w:ind w:left="1440" w:hanging="1440"/>
        <w:rPr>
          <w:rFonts w:ascii="Open Sans" w:hAnsi="Open Sans" w:cs="Open Sans"/>
          <w:sz w:val="24"/>
          <w:szCs w:val="24"/>
        </w:rPr>
      </w:pPr>
      <w:r w:rsidRPr="005949EB">
        <w:rPr>
          <w:rStyle w:val="Heading2Char"/>
          <w:sz w:val="28"/>
          <w:szCs w:val="28"/>
        </w:rPr>
        <w:t>Response:</w:t>
      </w:r>
      <w:r w:rsidRPr="005949EB">
        <w:rPr>
          <w:rFonts w:ascii="Open Sans" w:hAnsi="Open Sans" w:cs="Open Sans"/>
        </w:rPr>
        <w:t xml:space="preserve"> </w:t>
      </w:r>
      <w:r w:rsidR="00B019BF">
        <w:rPr>
          <w:rFonts w:ascii="Open Sans" w:eastAsiaTheme="minorEastAsia" w:hAnsi="Open Sans" w:cs="Open Sans"/>
          <w:color w:val="auto"/>
          <w:sz w:val="24"/>
          <w:szCs w:val="24"/>
        </w:rPr>
        <w:t>System Capacity (%)</w:t>
      </w:r>
    </w:p>
    <w:p w14:paraId="1EA0C41F" w14:textId="7EC77CC6" w:rsidR="004136A4" w:rsidRPr="005949EB" w:rsidRDefault="004136A4" w:rsidP="00196385">
      <w:pPr>
        <w:pStyle w:val="Heading1"/>
        <w:widowControl w:val="0"/>
        <w:spacing w:line="240" w:lineRule="auto"/>
        <w:ind w:left="1440" w:hanging="1440"/>
        <w:rPr>
          <w:rFonts w:ascii="Open Sans" w:hAnsi="Open Sans" w:cs="Open Sans"/>
          <w:sz w:val="24"/>
          <w:szCs w:val="24"/>
        </w:rPr>
      </w:pPr>
      <w:r w:rsidRPr="005949EB">
        <w:rPr>
          <w:rStyle w:val="Heading2Char"/>
          <w:sz w:val="28"/>
          <w:szCs w:val="28"/>
        </w:rPr>
        <w:t>Species:</w:t>
      </w:r>
      <w:r w:rsidRPr="005949EB">
        <w:rPr>
          <w:rFonts w:ascii="Open Sans SemiBold" w:hAnsi="Open Sans SemiBold" w:cs="Open Sans SemiBold"/>
        </w:rPr>
        <w:t xml:space="preserve"> </w:t>
      </w:r>
      <w:r w:rsidR="00A84C72">
        <w:rPr>
          <w:rFonts w:ascii="Open Sans" w:eastAsiaTheme="minorEastAsia" w:hAnsi="Open Sans" w:cs="Open Sans"/>
          <w:color w:val="auto"/>
          <w:sz w:val="24"/>
          <w:szCs w:val="24"/>
        </w:rPr>
        <w:t>Salish Sucker</w:t>
      </w:r>
      <w:r w:rsidR="00196385" w:rsidRPr="005949EB">
        <w:rPr>
          <w:rFonts w:ascii="Open Sans" w:eastAsiaTheme="minorEastAsia" w:hAnsi="Open Sans" w:cs="Open Sans"/>
          <w:color w:val="auto"/>
          <w:sz w:val="24"/>
          <w:szCs w:val="24"/>
        </w:rPr>
        <w:t xml:space="preserve"> (</w:t>
      </w:r>
      <w:r w:rsidR="00B26E39" w:rsidRPr="00B26E39">
        <w:rPr>
          <w:rFonts w:ascii="Open Sans" w:eastAsiaTheme="minorEastAsia" w:hAnsi="Open Sans" w:cs="Open Sans"/>
          <w:i/>
          <w:iCs/>
          <w:color w:val="auto"/>
          <w:sz w:val="24"/>
          <w:szCs w:val="24"/>
        </w:rPr>
        <w:t>Catostomus sp</w:t>
      </w:r>
      <w:r w:rsidR="00E57BA3">
        <w:rPr>
          <w:rFonts w:ascii="Open Sans" w:eastAsiaTheme="minorEastAsia" w:hAnsi="Open Sans" w:cs="Open Sans"/>
          <w:i/>
          <w:iCs/>
          <w:color w:val="auto"/>
          <w:sz w:val="24"/>
          <w:szCs w:val="24"/>
        </w:rPr>
        <w:t>.</w:t>
      </w:r>
      <w:r w:rsidR="00196385" w:rsidRPr="0052431D">
        <w:rPr>
          <w:rFonts w:ascii="Open Sans" w:eastAsiaTheme="minorEastAsia" w:hAnsi="Open Sans" w:cs="Open Sans"/>
          <w:color w:val="auto"/>
          <w:sz w:val="24"/>
          <w:szCs w:val="24"/>
        </w:rPr>
        <w:t>)</w:t>
      </w:r>
    </w:p>
    <w:p w14:paraId="4E96A4B0" w14:textId="1C3C3B73" w:rsidR="008E3ACA" w:rsidRPr="005949EB" w:rsidRDefault="00196385" w:rsidP="008E3ACA">
      <w:r w:rsidRPr="005949EB">
        <w:rPr>
          <w:rStyle w:val="Heading2Char"/>
          <w:sz w:val="28"/>
          <w:szCs w:val="28"/>
        </w:rPr>
        <w:tab/>
      </w:r>
      <w:r w:rsidRPr="005949EB">
        <w:rPr>
          <w:rStyle w:val="Heading2Char"/>
          <w:sz w:val="28"/>
          <w:szCs w:val="28"/>
        </w:rPr>
        <w:tab/>
      </w:r>
    </w:p>
    <w:p w14:paraId="336FD5AA" w14:textId="7C80D7DE" w:rsidR="003C3F8D" w:rsidRPr="005949EB" w:rsidRDefault="00887B95" w:rsidP="00360F36">
      <w:pPr>
        <w:pStyle w:val="Heading1"/>
        <w:keepNext w:val="0"/>
        <w:keepLines w:val="0"/>
        <w:widowControl w:val="0"/>
        <w:spacing w:before="0" w:line="240" w:lineRule="auto"/>
        <w:rPr>
          <w:rFonts w:cstheme="majorHAnsi"/>
          <w:color w:val="auto"/>
          <w:sz w:val="25"/>
          <w:szCs w:val="25"/>
        </w:rPr>
      </w:pPr>
      <w:r w:rsidRPr="005949EB">
        <w:rPr>
          <w:rStyle w:val="Heading2Char"/>
          <w:sz w:val="28"/>
          <w:szCs w:val="28"/>
        </w:rPr>
        <w:t>Life Stage:</w:t>
      </w:r>
      <w:r w:rsidRPr="005949EB">
        <w:rPr>
          <w:rFonts w:cstheme="majorHAnsi"/>
        </w:rPr>
        <w:t xml:space="preserve"> </w:t>
      </w:r>
      <w:r w:rsidR="00196385" w:rsidRPr="005949EB">
        <w:rPr>
          <w:rFonts w:ascii="Open Sans" w:eastAsiaTheme="minorEastAsia" w:hAnsi="Open Sans" w:cs="Open Sans"/>
          <w:color w:val="auto"/>
          <w:sz w:val="24"/>
          <w:szCs w:val="24"/>
        </w:rPr>
        <w:t xml:space="preserve">Adult </w:t>
      </w:r>
    </w:p>
    <w:p w14:paraId="4FEC31FB" w14:textId="77777777" w:rsidR="00E962EA" w:rsidRPr="005949EB" w:rsidRDefault="00E962EA" w:rsidP="00E962EA"/>
    <w:p w14:paraId="2BF9B157" w14:textId="04A95B81" w:rsidR="00E962EA" w:rsidRDefault="00ED6356" w:rsidP="006534B4">
      <w:pPr>
        <w:pStyle w:val="Heading1"/>
        <w:keepNext w:val="0"/>
        <w:keepLines w:val="0"/>
        <w:widowControl w:val="0"/>
        <w:spacing w:before="0" w:line="240" w:lineRule="auto"/>
        <w:ind w:left="1134" w:hanging="1134"/>
        <w:rPr>
          <w:rFonts w:ascii="Open Sans" w:eastAsiaTheme="minorEastAsia" w:hAnsi="Open Sans" w:cs="Open Sans"/>
          <w:color w:val="auto"/>
          <w:sz w:val="24"/>
          <w:szCs w:val="24"/>
        </w:rPr>
      </w:pPr>
      <w:r w:rsidRPr="005949EB">
        <w:rPr>
          <w:rStyle w:val="Heading2Char"/>
          <w:sz w:val="28"/>
          <w:szCs w:val="28"/>
        </w:rPr>
        <w:t>System</w:t>
      </w:r>
      <w:r w:rsidR="00D065C4" w:rsidRPr="005949EB">
        <w:rPr>
          <w:rStyle w:val="Heading2Char"/>
          <w:sz w:val="28"/>
          <w:szCs w:val="28"/>
        </w:rPr>
        <w:t>:</w:t>
      </w:r>
      <w:r w:rsidR="00D065C4" w:rsidRPr="005949EB">
        <w:rPr>
          <w:rFonts w:cstheme="majorHAnsi"/>
        </w:rPr>
        <w:t xml:space="preserve"> </w:t>
      </w:r>
      <w:r w:rsidR="006534B4">
        <w:rPr>
          <w:rFonts w:ascii="Open Sans" w:eastAsiaTheme="minorEastAsia" w:hAnsi="Open Sans" w:cs="Open Sans"/>
          <w:color w:val="auto"/>
          <w:sz w:val="24"/>
          <w:szCs w:val="24"/>
        </w:rPr>
        <w:t xml:space="preserve">Lower Fraser Valley, including the full distribution range of </w:t>
      </w:r>
      <w:r w:rsidR="00A84C72">
        <w:rPr>
          <w:rFonts w:ascii="Open Sans" w:eastAsiaTheme="minorEastAsia" w:hAnsi="Open Sans" w:cs="Open Sans"/>
          <w:color w:val="auto"/>
          <w:sz w:val="24"/>
          <w:szCs w:val="24"/>
        </w:rPr>
        <w:t>Salish Sucker</w:t>
      </w:r>
    </w:p>
    <w:p w14:paraId="4BC22F0A" w14:textId="77777777" w:rsidR="00964043" w:rsidRPr="00964043" w:rsidRDefault="00964043" w:rsidP="00964043"/>
    <w:p w14:paraId="6BAD441F" w14:textId="5F769D83" w:rsidR="00964043" w:rsidRDefault="0D60F6D8" w:rsidP="00964043">
      <w:pPr>
        <w:pStyle w:val="Heading1"/>
        <w:keepNext w:val="0"/>
        <w:keepLines w:val="0"/>
        <w:widowControl w:val="0"/>
        <w:spacing w:before="0" w:line="240" w:lineRule="auto"/>
        <w:rPr>
          <w:rFonts w:ascii="Open Sans" w:eastAsiaTheme="minorEastAsia" w:hAnsi="Open Sans" w:cs="Open Sans"/>
          <w:color w:val="auto"/>
          <w:sz w:val="24"/>
          <w:szCs w:val="24"/>
        </w:rPr>
      </w:pPr>
      <w:r w:rsidRPr="005949EB">
        <w:rPr>
          <w:rStyle w:val="Heading2Char"/>
          <w:sz w:val="28"/>
          <w:szCs w:val="28"/>
        </w:rPr>
        <w:t>Function</w:t>
      </w:r>
      <w:r w:rsidR="5D2C5D7E" w:rsidRPr="005949EB">
        <w:rPr>
          <w:rStyle w:val="Heading2Char"/>
          <w:sz w:val="28"/>
          <w:szCs w:val="28"/>
        </w:rPr>
        <w:t xml:space="preserve"> Derivation</w:t>
      </w:r>
      <w:r w:rsidR="2AEA4719" w:rsidRPr="005949EB">
        <w:rPr>
          <w:rStyle w:val="Heading2Char"/>
          <w:sz w:val="28"/>
          <w:szCs w:val="28"/>
        </w:rPr>
        <w:t>:</w:t>
      </w:r>
      <w:r w:rsidR="2AEA4719" w:rsidRPr="005949EB">
        <w:rPr>
          <w:rFonts w:cstheme="majorHAnsi"/>
        </w:rPr>
        <w:t xml:space="preserve"> </w:t>
      </w:r>
      <w:r w:rsidR="00964043">
        <w:rPr>
          <w:rFonts w:ascii="Open Sans" w:eastAsiaTheme="minorEastAsia" w:hAnsi="Open Sans" w:cs="Open Sans"/>
          <w:color w:val="auto"/>
          <w:sz w:val="24"/>
          <w:szCs w:val="24"/>
        </w:rPr>
        <w:t>E</w:t>
      </w:r>
      <w:r w:rsidR="00B106F9" w:rsidRPr="005949EB">
        <w:rPr>
          <w:rFonts w:ascii="Open Sans" w:eastAsiaTheme="minorEastAsia" w:hAnsi="Open Sans" w:cs="Open Sans"/>
          <w:color w:val="auto"/>
          <w:sz w:val="24"/>
          <w:szCs w:val="24"/>
        </w:rPr>
        <w:t xml:space="preserve">mpirical </w:t>
      </w:r>
      <w:r w:rsidR="00B106F9" w:rsidRPr="00964043">
        <w:rPr>
          <w:rFonts w:ascii="Open Sans" w:eastAsiaTheme="minorEastAsia" w:hAnsi="Open Sans" w:cs="Open Sans"/>
          <w:color w:val="auto"/>
          <w:sz w:val="24"/>
          <w:szCs w:val="24"/>
        </w:rPr>
        <w:t>data</w:t>
      </w:r>
      <w:r w:rsidR="00964043" w:rsidRPr="00964043">
        <w:rPr>
          <w:rFonts w:ascii="Open Sans" w:eastAsiaTheme="minorEastAsia" w:hAnsi="Open Sans" w:cs="Open Sans"/>
          <w:color w:val="auto"/>
          <w:sz w:val="24"/>
          <w:szCs w:val="24"/>
        </w:rPr>
        <w:t xml:space="preserve"> for </w:t>
      </w:r>
      <w:r w:rsidR="00DD7A14">
        <w:rPr>
          <w:rFonts w:ascii="Open Sans" w:eastAsiaTheme="minorEastAsia" w:hAnsi="Open Sans" w:cs="Open Sans"/>
          <w:color w:val="auto"/>
          <w:sz w:val="24"/>
          <w:szCs w:val="24"/>
        </w:rPr>
        <w:t>Salish Sucker from lower Fraser Valley</w:t>
      </w:r>
      <w:r w:rsidR="00964043" w:rsidRPr="00964043">
        <w:rPr>
          <w:rFonts w:ascii="Open Sans" w:eastAsiaTheme="minorEastAsia" w:hAnsi="Open Sans" w:cs="Open Sans"/>
          <w:color w:val="auto"/>
          <w:sz w:val="24"/>
          <w:szCs w:val="24"/>
        </w:rPr>
        <w:t xml:space="preserve"> supported by the </w:t>
      </w:r>
      <w:r w:rsidR="0000264E">
        <w:rPr>
          <w:rFonts w:ascii="Open Sans" w:eastAsiaTheme="minorEastAsia" w:hAnsi="Open Sans" w:cs="Open Sans"/>
          <w:color w:val="auto"/>
          <w:sz w:val="24"/>
          <w:szCs w:val="24"/>
        </w:rPr>
        <w:t xml:space="preserve">older </w:t>
      </w:r>
      <w:r w:rsidR="00DD7A14">
        <w:rPr>
          <w:rFonts w:ascii="Open Sans" w:eastAsiaTheme="minorEastAsia" w:hAnsi="Open Sans" w:cs="Open Sans"/>
          <w:color w:val="auto"/>
          <w:sz w:val="24"/>
          <w:szCs w:val="24"/>
        </w:rPr>
        <w:t xml:space="preserve">generic </w:t>
      </w:r>
      <w:r w:rsidR="0000264E">
        <w:rPr>
          <w:rFonts w:ascii="Open Sans" w:eastAsiaTheme="minorEastAsia" w:hAnsi="Open Sans" w:cs="Open Sans"/>
          <w:color w:val="auto"/>
          <w:sz w:val="24"/>
          <w:szCs w:val="24"/>
        </w:rPr>
        <w:t>published curve</w:t>
      </w:r>
      <w:r w:rsidR="0000264E" w:rsidRPr="00964043">
        <w:rPr>
          <w:rFonts w:ascii="Open Sans" w:eastAsiaTheme="minorEastAsia" w:hAnsi="Open Sans" w:cs="Open Sans"/>
          <w:color w:val="auto"/>
          <w:sz w:val="24"/>
          <w:szCs w:val="24"/>
        </w:rPr>
        <w:t xml:space="preserve"> </w:t>
      </w:r>
      <w:r w:rsidR="00964043" w:rsidRPr="00964043">
        <w:rPr>
          <w:rFonts w:ascii="Open Sans" w:eastAsiaTheme="minorEastAsia" w:hAnsi="Open Sans" w:cs="Open Sans"/>
          <w:color w:val="auto"/>
          <w:sz w:val="24"/>
          <w:szCs w:val="24"/>
        </w:rPr>
        <w:t xml:space="preserve">for </w:t>
      </w:r>
      <w:r w:rsidR="00DD7A14">
        <w:rPr>
          <w:rFonts w:ascii="Open Sans" w:eastAsiaTheme="minorEastAsia" w:hAnsi="Open Sans" w:cs="Open Sans"/>
          <w:color w:val="auto"/>
          <w:sz w:val="24"/>
          <w:szCs w:val="24"/>
        </w:rPr>
        <w:t>Longnose Sucker from across North America</w:t>
      </w:r>
      <w:r w:rsidR="006D49BB">
        <w:rPr>
          <w:rFonts w:ascii="Open Sans" w:eastAsiaTheme="minorEastAsia" w:hAnsi="Open Sans" w:cs="Open Sans"/>
          <w:color w:val="auto"/>
          <w:sz w:val="24"/>
          <w:szCs w:val="24"/>
        </w:rPr>
        <w:t>.</w:t>
      </w:r>
    </w:p>
    <w:p w14:paraId="263CE917" w14:textId="1FC535CA" w:rsidR="008E3ACA" w:rsidRPr="00964043" w:rsidRDefault="00CB75D4" w:rsidP="00964043">
      <w:pPr>
        <w:pStyle w:val="Heading1"/>
        <w:keepNext w:val="0"/>
        <w:keepLines w:val="0"/>
        <w:widowControl w:val="0"/>
        <w:spacing w:before="0" w:line="240" w:lineRule="auto"/>
        <w:rPr>
          <w:rFonts w:eastAsiaTheme="minorEastAsia" w:cstheme="majorHAnsi"/>
          <w:color w:val="auto"/>
          <w:sz w:val="28"/>
          <w:szCs w:val="28"/>
        </w:rPr>
      </w:pPr>
      <w:r w:rsidRPr="005949EB">
        <w:tab/>
      </w:r>
    </w:p>
    <w:p w14:paraId="5037A327" w14:textId="64859C67" w:rsidR="00B10554" w:rsidRPr="005949EB" w:rsidRDefault="3D17529D" w:rsidP="00B10554">
      <w:pPr>
        <w:pStyle w:val="Heading1"/>
        <w:keepNext w:val="0"/>
        <w:keepLines w:val="0"/>
        <w:widowControl w:val="0"/>
        <w:spacing w:before="0" w:line="240" w:lineRule="auto"/>
        <w:rPr>
          <w:rFonts w:ascii="Open Sans" w:eastAsiaTheme="minorEastAsia" w:hAnsi="Open Sans" w:cs="Open Sans"/>
          <w:color w:val="auto"/>
          <w:sz w:val="24"/>
          <w:szCs w:val="24"/>
        </w:rPr>
      </w:pPr>
      <w:r w:rsidRPr="005949EB">
        <w:rPr>
          <w:rStyle w:val="Heading2Char"/>
          <w:sz w:val="28"/>
          <w:szCs w:val="28"/>
        </w:rPr>
        <w:t>Transferability</w:t>
      </w:r>
      <w:r w:rsidR="59B482CC" w:rsidRPr="005949EB">
        <w:rPr>
          <w:rStyle w:val="Heading2Char"/>
          <w:sz w:val="28"/>
          <w:szCs w:val="28"/>
        </w:rPr>
        <w:t xml:space="preserve"> of </w:t>
      </w:r>
      <w:r w:rsidR="32994C73" w:rsidRPr="005949EB">
        <w:rPr>
          <w:rStyle w:val="Heading2Char"/>
          <w:sz w:val="28"/>
          <w:szCs w:val="28"/>
        </w:rPr>
        <w:t>Function</w:t>
      </w:r>
      <w:r w:rsidRPr="005949EB">
        <w:rPr>
          <w:rStyle w:val="Heading2Char"/>
          <w:sz w:val="28"/>
          <w:szCs w:val="28"/>
        </w:rPr>
        <w:t>:</w:t>
      </w:r>
      <w:r w:rsidR="1384BB29" w:rsidRPr="005949EB">
        <w:rPr>
          <w:rFonts w:cstheme="majorHAnsi"/>
          <w:color w:val="auto"/>
        </w:rPr>
        <w:t xml:space="preserve"> </w:t>
      </w:r>
      <w:r w:rsidR="00B10554">
        <w:rPr>
          <w:rFonts w:ascii="Open Sans" w:eastAsiaTheme="minorEastAsia" w:hAnsi="Open Sans" w:cs="Open Sans"/>
          <w:color w:val="auto"/>
          <w:sz w:val="24"/>
          <w:szCs w:val="24"/>
        </w:rPr>
        <w:t xml:space="preserve">As local adaptations are likely minimal among different </w:t>
      </w:r>
      <w:r w:rsidR="00EC5C63">
        <w:rPr>
          <w:rFonts w:ascii="Open Sans" w:eastAsiaTheme="minorEastAsia" w:hAnsi="Open Sans" w:cs="Open Sans"/>
          <w:color w:val="auto"/>
          <w:sz w:val="24"/>
          <w:szCs w:val="24"/>
        </w:rPr>
        <w:t>Salish Sucker</w:t>
      </w:r>
      <w:r w:rsidR="00B10554">
        <w:rPr>
          <w:rFonts w:ascii="Open Sans" w:eastAsiaTheme="minorEastAsia" w:hAnsi="Open Sans" w:cs="Open Sans"/>
          <w:color w:val="auto"/>
          <w:sz w:val="24"/>
          <w:szCs w:val="24"/>
        </w:rPr>
        <w:t xml:space="preserve"> populations, we would not expect much variation in true tolerance among populations.  This function should therefore be broadly applicable to all populations of the species, with the caveat that it is partly based on data from </w:t>
      </w:r>
      <w:r w:rsidR="0000264E">
        <w:rPr>
          <w:rFonts w:ascii="Open Sans" w:eastAsiaTheme="minorEastAsia" w:hAnsi="Open Sans" w:cs="Open Sans"/>
          <w:color w:val="auto"/>
          <w:sz w:val="24"/>
          <w:szCs w:val="24"/>
        </w:rPr>
        <w:t>longnose sucker</w:t>
      </w:r>
      <w:r w:rsidR="00B10554">
        <w:rPr>
          <w:rFonts w:ascii="Open Sans" w:eastAsiaTheme="minorEastAsia" w:hAnsi="Open Sans" w:cs="Open Sans"/>
          <w:color w:val="auto"/>
          <w:sz w:val="24"/>
          <w:szCs w:val="24"/>
        </w:rPr>
        <w:t xml:space="preserve">.   </w:t>
      </w:r>
    </w:p>
    <w:p w14:paraId="6DD5AFF6" w14:textId="77777777" w:rsidR="001605BC" w:rsidRPr="005949EB" w:rsidRDefault="001605BC" w:rsidP="001605BC"/>
    <w:p w14:paraId="73E9007B" w14:textId="74CE183F" w:rsidR="00315B1D" w:rsidRPr="005949EB" w:rsidRDefault="00315B1D" w:rsidP="00315B1D">
      <w:pPr>
        <w:pStyle w:val="Heading1"/>
        <w:spacing w:before="0" w:line="240" w:lineRule="auto"/>
        <w:rPr>
          <w:rFonts w:ascii="Open Sans" w:eastAsiaTheme="minorEastAsia" w:hAnsi="Open Sans" w:cs="Open Sans"/>
          <w:color w:val="auto"/>
          <w:sz w:val="24"/>
          <w:szCs w:val="24"/>
        </w:rPr>
      </w:pPr>
      <w:r w:rsidRPr="005949EB">
        <w:rPr>
          <w:rFonts w:ascii="Open Sans SemiBold" w:hAnsi="Open Sans SemiBold" w:cs="Open Sans SemiBold"/>
          <w:sz w:val="28"/>
          <w:szCs w:val="28"/>
          <w:u w:val="single"/>
        </w:rPr>
        <w:t>Model Validation:</w:t>
      </w:r>
      <w:r w:rsidRPr="005949EB">
        <w:rPr>
          <w:rFonts w:ascii="Open Sans" w:eastAsiaTheme="minorEastAsia" w:hAnsi="Open Sans" w:cs="Open Sans"/>
          <w:color w:val="auto"/>
          <w:sz w:val="24"/>
          <w:szCs w:val="24"/>
        </w:rPr>
        <w:t xml:space="preserve"> </w:t>
      </w:r>
      <w:r w:rsidR="0000264E">
        <w:rPr>
          <w:rFonts w:ascii="Open Sans" w:eastAsiaTheme="minorEastAsia" w:hAnsi="Open Sans" w:cs="Open Sans"/>
          <w:color w:val="auto"/>
          <w:sz w:val="24"/>
          <w:szCs w:val="24"/>
        </w:rPr>
        <w:t>The m</w:t>
      </w:r>
      <w:r w:rsidR="0000264E" w:rsidRPr="005949EB">
        <w:rPr>
          <w:rFonts w:ascii="Open Sans" w:eastAsiaTheme="minorEastAsia" w:hAnsi="Open Sans" w:cs="Open Sans"/>
          <w:color w:val="auto"/>
          <w:sz w:val="24"/>
          <w:szCs w:val="24"/>
        </w:rPr>
        <w:t xml:space="preserve">odel </w:t>
      </w:r>
      <w:r w:rsidR="00A94DE5">
        <w:rPr>
          <w:rFonts w:ascii="Open Sans" w:eastAsiaTheme="minorEastAsia" w:hAnsi="Open Sans" w:cs="Open Sans"/>
          <w:color w:val="auto"/>
          <w:sz w:val="24"/>
          <w:szCs w:val="24"/>
        </w:rPr>
        <w:t xml:space="preserve">is </w:t>
      </w:r>
      <w:r w:rsidRPr="005949EB">
        <w:rPr>
          <w:rFonts w:ascii="Open Sans" w:eastAsiaTheme="minorEastAsia" w:hAnsi="Open Sans" w:cs="Open Sans"/>
          <w:color w:val="auto"/>
          <w:sz w:val="24"/>
          <w:szCs w:val="24"/>
        </w:rPr>
        <w:t>not validated on independent data</w:t>
      </w:r>
      <w:r w:rsidR="00964043">
        <w:rPr>
          <w:rFonts w:ascii="Open Sans" w:eastAsiaTheme="minorEastAsia" w:hAnsi="Open Sans" w:cs="Open Sans"/>
          <w:color w:val="auto"/>
          <w:sz w:val="24"/>
          <w:szCs w:val="24"/>
        </w:rPr>
        <w:t xml:space="preserve"> for </w:t>
      </w:r>
      <w:r w:rsidR="00EC5C63">
        <w:rPr>
          <w:rFonts w:ascii="Open Sans" w:eastAsiaTheme="minorEastAsia" w:hAnsi="Open Sans" w:cs="Open Sans"/>
          <w:color w:val="auto"/>
          <w:sz w:val="24"/>
          <w:szCs w:val="24"/>
        </w:rPr>
        <w:t>Salish Sucker</w:t>
      </w:r>
      <w:r w:rsidR="00964043">
        <w:rPr>
          <w:rFonts w:ascii="Open Sans" w:eastAsiaTheme="minorEastAsia" w:hAnsi="Open Sans" w:cs="Open Sans"/>
          <w:color w:val="auto"/>
          <w:sz w:val="24"/>
          <w:szCs w:val="24"/>
        </w:rPr>
        <w:t xml:space="preserve"> due to unavailability of </w:t>
      </w:r>
      <w:r w:rsidR="0000264E">
        <w:rPr>
          <w:rFonts w:ascii="Open Sans" w:eastAsiaTheme="minorEastAsia" w:hAnsi="Open Sans" w:cs="Open Sans"/>
          <w:color w:val="auto"/>
          <w:sz w:val="24"/>
          <w:szCs w:val="24"/>
        </w:rPr>
        <w:t xml:space="preserve">such </w:t>
      </w:r>
      <w:r w:rsidR="00964043">
        <w:rPr>
          <w:rFonts w:ascii="Open Sans" w:eastAsiaTheme="minorEastAsia" w:hAnsi="Open Sans" w:cs="Open Sans"/>
          <w:color w:val="auto"/>
          <w:sz w:val="24"/>
          <w:szCs w:val="24"/>
        </w:rPr>
        <w:t>data</w:t>
      </w:r>
      <w:r w:rsidRPr="005949EB">
        <w:rPr>
          <w:rFonts w:ascii="Open Sans" w:eastAsiaTheme="minorEastAsia" w:hAnsi="Open Sans" w:cs="Open Sans"/>
          <w:color w:val="auto"/>
          <w:sz w:val="24"/>
          <w:szCs w:val="24"/>
        </w:rPr>
        <w:t xml:space="preserve">. </w:t>
      </w:r>
    </w:p>
    <w:p w14:paraId="3534E6A6" w14:textId="77777777" w:rsidR="00E0017B" w:rsidRPr="005949EB" w:rsidRDefault="00E0017B">
      <w:pPr>
        <w:rPr>
          <w:rFonts w:asciiTheme="majorHAnsi" w:hAnsiTheme="majorHAnsi" w:cstheme="majorHAnsi"/>
          <w:sz w:val="24"/>
          <w:szCs w:val="24"/>
        </w:rPr>
      </w:pPr>
      <w:r w:rsidRPr="005949EB">
        <w:rPr>
          <w:rFonts w:cstheme="majorHAnsi"/>
          <w:sz w:val="24"/>
          <w:szCs w:val="24"/>
        </w:rPr>
        <w:br w:type="page"/>
      </w:r>
    </w:p>
    <w:p w14:paraId="5EBA76D6" w14:textId="57B03316" w:rsidR="2F9CA283" w:rsidRPr="005949EB" w:rsidRDefault="16666FFA" w:rsidP="005442BA">
      <w:pPr>
        <w:pStyle w:val="Heading1"/>
        <w:keepNext w:val="0"/>
        <w:keepLines w:val="0"/>
        <w:widowControl w:val="0"/>
        <w:spacing w:before="0" w:line="240" w:lineRule="auto"/>
        <w:rPr>
          <w:rFonts w:ascii="Open Sans SemiBold" w:hAnsi="Open Sans SemiBold" w:cs="Open Sans SemiBold"/>
          <w:color w:val="004848"/>
        </w:rPr>
      </w:pPr>
      <w:r w:rsidRPr="005949EB">
        <w:rPr>
          <w:rFonts w:ascii="Open Sans SemiBold" w:hAnsi="Open Sans SemiBold" w:cs="Open Sans SemiBold"/>
          <w:color w:val="004848"/>
        </w:rPr>
        <w:lastRenderedPageBreak/>
        <w:t>D</w:t>
      </w:r>
      <w:r w:rsidR="008D3EF1" w:rsidRPr="005949EB">
        <w:rPr>
          <w:rFonts w:ascii="Open Sans SemiBold" w:hAnsi="Open Sans SemiBold" w:cs="Open Sans SemiBold"/>
          <w:color w:val="004848"/>
        </w:rPr>
        <w:t>etailed SR Function Description</w:t>
      </w:r>
      <w:r w:rsidR="00F41A31">
        <w:rPr>
          <w:rFonts w:ascii="Open Sans SemiBold" w:hAnsi="Open Sans SemiBold" w:cs="Open Sans SemiBold"/>
          <w:color w:val="004848"/>
        </w:rPr>
        <w:t>:</w:t>
      </w:r>
    </w:p>
    <w:p w14:paraId="0F12952B" w14:textId="77777777" w:rsidR="006A43D9" w:rsidRDefault="006A43D9" w:rsidP="006A43D9">
      <w:pPr>
        <w:pStyle w:val="Heading2"/>
        <w:rPr>
          <w:rStyle w:val="Heading2Char"/>
          <w:sz w:val="28"/>
          <w:szCs w:val="28"/>
        </w:rPr>
      </w:pPr>
      <w:bookmarkStart w:id="0" w:name="_Hlk158040909"/>
    </w:p>
    <w:p w14:paraId="3A8F66B5" w14:textId="56F15B00" w:rsidR="006A43D9" w:rsidRPr="006A43D9" w:rsidRDefault="006A43D9" w:rsidP="00F41A31">
      <w:pPr>
        <w:pStyle w:val="Heading2"/>
        <w:rPr>
          <w:rStyle w:val="Heading2Char"/>
          <w:sz w:val="28"/>
          <w:szCs w:val="28"/>
        </w:rPr>
      </w:pPr>
      <w:r w:rsidRPr="00DD1A0A">
        <w:rPr>
          <w:rStyle w:val="Heading2Char"/>
          <w:sz w:val="28"/>
          <w:szCs w:val="28"/>
        </w:rPr>
        <w:t xml:space="preserve">Derivation of the function: </w:t>
      </w:r>
    </w:p>
    <w:p w14:paraId="68DE1453" w14:textId="1B733D68" w:rsidR="00A353D2" w:rsidRPr="00F41A31" w:rsidRDefault="004E34A4" w:rsidP="00F41A31">
      <w:pPr>
        <w:pStyle w:val="Heading2"/>
        <w:rPr>
          <w:rStyle w:val="Heading2Char"/>
          <w:rFonts w:ascii="Open Sans" w:hAnsi="Open Sans" w:cs="Open Sans"/>
          <w:color w:val="auto"/>
          <w:sz w:val="22"/>
          <w:szCs w:val="22"/>
          <w:u w:val="none"/>
        </w:rPr>
      </w:pPr>
      <w:r>
        <w:rPr>
          <w:rStyle w:val="Heading2Char"/>
          <w:rFonts w:ascii="Open Sans" w:hAnsi="Open Sans" w:cs="Open Sans"/>
          <w:color w:val="auto"/>
          <w:sz w:val="22"/>
          <w:szCs w:val="22"/>
          <w:u w:val="none"/>
        </w:rPr>
        <w:t>T</w:t>
      </w:r>
      <w:r w:rsidR="008E378F">
        <w:rPr>
          <w:rStyle w:val="Heading2Char"/>
          <w:rFonts w:ascii="Open Sans" w:hAnsi="Open Sans" w:cs="Open Sans"/>
          <w:color w:val="auto"/>
          <w:sz w:val="22"/>
          <w:szCs w:val="22"/>
          <w:u w:val="none"/>
        </w:rPr>
        <w:t xml:space="preserve">hree </w:t>
      </w:r>
      <w:r w:rsidR="00047B22">
        <w:rPr>
          <w:rStyle w:val="Heading2Char"/>
          <w:rFonts w:ascii="Open Sans" w:hAnsi="Open Sans" w:cs="Open Sans"/>
          <w:color w:val="auto"/>
          <w:sz w:val="22"/>
          <w:szCs w:val="22"/>
          <w:u w:val="none"/>
        </w:rPr>
        <w:t xml:space="preserve">data </w:t>
      </w:r>
      <w:r w:rsidR="008E378F">
        <w:rPr>
          <w:rStyle w:val="Heading2Char"/>
          <w:rFonts w:ascii="Open Sans" w:hAnsi="Open Sans" w:cs="Open Sans"/>
          <w:color w:val="auto"/>
          <w:sz w:val="22"/>
          <w:szCs w:val="22"/>
          <w:u w:val="none"/>
        </w:rPr>
        <w:t xml:space="preserve">sources </w:t>
      </w:r>
      <w:r w:rsidR="004A56F6">
        <w:rPr>
          <w:rStyle w:val="Heading2Char"/>
          <w:rFonts w:ascii="Open Sans" w:hAnsi="Open Sans" w:cs="Open Sans"/>
          <w:color w:val="auto"/>
          <w:sz w:val="22"/>
          <w:szCs w:val="22"/>
          <w:u w:val="none"/>
        </w:rPr>
        <w:t xml:space="preserve">of information </w:t>
      </w:r>
      <w:r>
        <w:rPr>
          <w:rStyle w:val="Heading2Char"/>
          <w:rFonts w:ascii="Open Sans" w:hAnsi="Open Sans" w:cs="Open Sans"/>
          <w:color w:val="auto"/>
          <w:sz w:val="22"/>
          <w:szCs w:val="22"/>
          <w:u w:val="none"/>
        </w:rPr>
        <w:t xml:space="preserve">were considered for deriving the final curve </w:t>
      </w:r>
      <w:r w:rsidR="008E378F">
        <w:rPr>
          <w:rStyle w:val="Heading2Char"/>
          <w:rFonts w:ascii="Open Sans" w:hAnsi="Open Sans" w:cs="Open Sans"/>
          <w:color w:val="auto"/>
          <w:sz w:val="22"/>
          <w:szCs w:val="22"/>
          <w:u w:val="none"/>
        </w:rPr>
        <w:t>i.e.,</w:t>
      </w:r>
      <w:r w:rsidR="008C1450">
        <w:rPr>
          <w:rStyle w:val="Heading2Char"/>
          <w:rFonts w:ascii="Open Sans" w:hAnsi="Open Sans" w:cs="Open Sans"/>
          <w:color w:val="auto"/>
          <w:sz w:val="22"/>
          <w:szCs w:val="22"/>
          <w:u w:val="none"/>
        </w:rPr>
        <w:t xml:space="preserve"> </w:t>
      </w:r>
      <w:r w:rsidR="008C1450">
        <w:rPr>
          <w:rStyle w:val="Heading2Char"/>
          <w:rFonts w:ascii="Open Sans" w:hAnsi="Open Sans" w:cs="Open Sans"/>
          <w:color w:val="auto"/>
          <w:sz w:val="22"/>
          <w:szCs w:val="22"/>
          <w:u w:val="none"/>
        </w:rPr>
        <w:fldChar w:fldCharType="begin" w:fldLock="1"/>
      </w:r>
      <w:r w:rsidR="0057467E">
        <w:rPr>
          <w:rStyle w:val="Heading2Char"/>
          <w:rFonts w:ascii="Open Sans" w:hAnsi="Open Sans" w:cs="Open Sans"/>
          <w:color w:val="auto"/>
          <w:sz w:val="22"/>
          <w:szCs w:val="22"/>
          <w:u w:val="none"/>
        </w:rPr>
        <w:instrText>ADDIN CSL_CITATION {"citationItems":[{"id":"ITEM-1","itemData":{"author":[{"dropping-particle":"","family":"Pearson","given":"M. P.","non-dropping-particle":"","parse-names":false,"suffix":""}],"id":"ITEM-1","issued":{"date-parts":[["2004"]]},"publisher":"University of British Columbia","title":"The ecology, status and recovery prospects of Noonsack Dace (Rhinichthys Cataractae ssp.) and Salish Sucker (Catostomus sp.) in Canada","type":"thesis"},"uris":["http://www.mendeley.com/documents/?uuid=318d4b71-77ce-4dfe-a1dc-a530d1353657"]}],"mendeley":{"formattedCitation":"(Pearson 2004)","manualFormatting":"Pearson (2004)","plainTextFormattedCitation":"(Pearson 2004)","previouslyFormattedCitation":"(Pearson 2004)"},"properties":{"noteIndex":0},"schema":"https://github.com/citation-style-language/schema/raw/master/csl-citation.json"}</w:instrText>
      </w:r>
      <w:r w:rsidR="008C1450">
        <w:rPr>
          <w:rStyle w:val="Heading2Char"/>
          <w:rFonts w:ascii="Open Sans" w:hAnsi="Open Sans" w:cs="Open Sans"/>
          <w:color w:val="auto"/>
          <w:sz w:val="22"/>
          <w:szCs w:val="22"/>
          <w:u w:val="none"/>
        </w:rPr>
        <w:fldChar w:fldCharType="separate"/>
      </w:r>
      <w:r w:rsidR="00EC5C63" w:rsidRPr="00EC5C63">
        <w:rPr>
          <w:rStyle w:val="Heading2Char"/>
          <w:rFonts w:ascii="Open Sans" w:hAnsi="Open Sans" w:cs="Open Sans"/>
          <w:noProof/>
          <w:color w:val="auto"/>
          <w:sz w:val="22"/>
          <w:szCs w:val="22"/>
          <w:u w:val="none"/>
        </w:rPr>
        <w:t xml:space="preserve">Pearson </w:t>
      </w:r>
      <w:r w:rsidR="00970EC5">
        <w:rPr>
          <w:rStyle w:val="Heading2Char"/>
          <w:rFonts w:ascii="Open Sans" w:hAnsi="Open Sans" w:cs="Open Sans"/>
          <w:noProof/>
          <w:color w:val="auto"/>
          <w:sz w:val="22"/>
          <w:szCs w:val="22"/>
          <w:u w:val="none"/>
        </w:rPr>
        <w:t>(</w:t>
      </w:r>
      <w:r w:rsidR="00EC5C63" w:rsidRPr="00EC5C63">
        <w:rPr>
          <w:rStyle w:val="Heading2Char"/>
          <w:rFonts w:ascii="Open Sans" w:hAnsi="Open Sans" w:cs="Open Sans"/>
          <w:noProof/>
          <w:color w:val="auto"/>
          <w:sz w:val="22"/>
          <w:szCs w:val="22"/>
          <w:u w:val="none"/>
        </w:rPr>
        <w:t>2004)</w:t>
      </w:r>
      <w:r w:rsidR="008C1450">
        <w:rPr>
          <w:rStyle w:val="Heading2Char"/>
          <w:rFonts w:ascii="Open Sans" w:hAnsi="Open Sans" w:cs="Open Sans"/>
          <w:color w:val="auto"/>
          <w:sz w:val="22"/>
          <w:szCs w:val="22"/>
          <w:u w:val="none"/>
        </w:rPr>
        <w:fldChar w:fldCharType="end"/>
      </w:r>
      <w:r w:rsidR="008C1450">
        <w:rPr>
          <w:rStyle w:val="Heading2Char"/>
          <w:rFonts w:ascii="Open Sans" w:hAnsi="Open Sans" w:cs="Open Sans"/>
          <w:color w:val="auto"/>
          <w:sz w:val="22"/>
          <w:szCs w:val="22"/>
          <w:u w:val="none"/>
        </w:rPr>
        <w:t xml:space="preserve">, </w:t>
      </w:r>
      <w:r w:rsidR="00EC5C63">
        <w:rPr>
          <w:rStyle w:val="Heading2Char"/>
          <w:rFonts w:ascii="Open Sans" w:hAnsi="Open Sans" w:cs="Open Sans"/>
          <w:color w:val="auto"/>
          <w:sz w:val="22"/>
          <w:szCs w:val="22"/>
          <w:u w:val="none"/>
        </w:rPr>
        <w:fldChar w:fldCharType="begin" w:fldLock="1"/>
      </w:r>
      <w:r w:rsidR="00F872F8">
        <w:rPr>
          <w:rStyle w:val="Heading2Char"/>
          <w:rFonts w:ascii="Open Sans" w:hAnsi="Open Sans" w:cs="Open Sans"/>
          <w:color w:val="auto"/>
          <w:sz w:val="22"/>
          <w:szCs w:val="22"/>
          <w:u w:val="none"/>
        </w:rPr>
        <w:instrText>ADDIN CSL_CITATION {"citationItems":[{"id":"ITEM-1","itemData":{"author":[{"dropping-particle":"","family":"Rosenfeld","given":"Jordan","non-dropping-particle":"","parse-names":false,"suffix":""},{"dropping-particle":"","family":"Pearson","given":"Michael P","non-dropping-particle":"","parse-names":false,"suffix":""},{"dropping-particle":"","family":"Miners","given":"Jill","non-dropping-particle":"","parse-names":false,"suffix":""},{"dropping-particle":"","family":"Zinn","given":"Kaitlyn","non-dropping-particle":"","parse-names":false,"suffix":""}],"id":"ITEM-1","issue":"February","issued":{"date-parts":[["2021"]]},"page":"1219-1233","title":"Effects of landscape-scale hypoxia on Salish sucker and salmonid habitat associations : implications for endangered","type":"article-journal","volume":"1233"},"uris":["http://www.mendeley.com/documents/?uuid=9b58aeee-233b-40e7-9915-6d005cffc6c3"]}],"mendeley":{"formattedCitation":"(Rosenfeld et al. 2021)","manualFormatting":"Rosenfeld et al. (2021)","plainTextFormattedCitation":"(Rosenfeld et al. 2021)","previouslyFormattedCitation":"(Rosenfeld et al. 2021)"},"properties":{"noteIndex":0},"schema":"https://github.com/citation-style-language/schema/raw/master/csl-citation.json"}</w:instrText>
      </w:r>
      <w:r w:rsidR="00EC5C63">
        <w:rPr>
          <w:rStyle w:val="Heading2Char"/>
          <w:rFonts w:ascii="Open Sans" w:hAnsi="Open Sans" w:cs="Open Sans"/>
          <w:color w:val="auto"/>
          <w:sz w:val="22"/>
          <w:szCs w:val="22"/>
          <w:u w:val="none"/>
        </w:rPr>
        <w:fldChar w:fldCharType="separate"/>
      </w:r>
      <w:r w:rsidR="00EC5C63" w:rsidRPr="00EC5C63">
        <w:rPr>
          <w:rStyle w:val="Heading2Char"/>
          <w:rFonts w:ascii="Open Sans" w:hAnsi="Open Sans" w:cs="Open Sans"/>
          <w:noProof/>
          <w:color w:val="auto"/>
          <w:sz w:val="22"/>
          <w:szCs w:val="22"/>
          <w:u w:val="none"/>
        </w:rPr>
        <w:t xml:space="preserve">Rosenfeld et al. </w:t>
      </w:r>
      <w:r w:rsidR="00970EC5">
        <w:rPr>
          <w:rStyle w:val="Heading2Char"/>
          <w:rFonts w:ascii="Open Sans" w:hAnsi="Open Sans" w:cs="Open Sans"/>
          <w:noProof/>
          <w:color w:val="auto"/>
          <w:sz w:val="22"/>
          <w:szCs w:val="22"/>
          <w:u w:val="none"/>
        </w:rPr>
        <w:t>(</w:t>
      </w:r>
      <w:r w:rsidR="00EC5C63" w:rsidRPr="00EC5C63">
        <w:rPr>
          <w:rStyle w:val="Heading2Char"/>
          <w:rFonts w:ascii="Open Sans" w:hAnsi="Open Sans" w:cs="Open Sans"/>
          <w:noProof/>
          <w:color w:val="auto"/>
          <w:sz w:val="22"/>
          <w:szCs w:val="22"/>
          <w:u w:val="none"/>
        </w:rPr>
        <w:t>2021)</w:t>
      </w:r>
      <w:r w:rsidR="00EC5C63">
        <w:rPr>
          <w:rStyle w:val="Heading2Char"/>
          <w:rFonts w:ascii="Open Sans" w:hAnsi="Open Sans" w:cs="Open Sans"/>
          <w:color w:val="auto"/>
          <w:sz w:val="22"/>
          <w:szCs w:val="22"/>
          <w:u w:val="none"/>
        </w:rPr>
        <w:fldChar w:fldCharType="end"/>
      </w:r>
      <w:r w:rsidR="00EC5C63">
        <w:rPr>
          <w:rStyle w:val="Heading2Char"/>
          <w:rFonts w:ascii="Open Sans" w:hAnsi="Open Sans" w:cs="Open Sans"/>
          <w:color w:val="auto"/>
          <w:sz w:val="22"/>
          <w:szCs w:val="22"/>
          <w:u w:val="none"/>
        </w:rPr>
        <w:t xml:space="preserve"> </w:t>
      </w:r>
      <w:r w:rsidR="008C1450">
        <w:rPr>
          <w:rStyle w:val="Heading2Char"/>
          <w:rFonts w:ascii="Open Sans" w:hAnsi="Open Sans" w:cs="Open Sans"/>
          <w:color w:val="auto"/>
          <w:sz w:val="22"/>
          <w:szCs w:val="22"/>
          <w:u w:val="none"/>
        </w:rPr>
        <w:t>and</w:t>
      </w:r>
      <w:r w:rsidR="00EC5C63">
        <w:rPr>
          <w:rStyle w:val="Heading2Char"/>
          <w:rFonts w:ascii="Open Sans" w:hAnsi="Open Sans" w:cs="Open Sans"/>
          <w:color w:val="auto"/>
          <w:sz w:val="22"/>
          <w:szCs w:val="22"/>
          <w:u w:val="none"/>
        </w:rPr>
        <w:t xml:space="preserve"> </w:t>
      </w:r>
      <w:r w:rsidR="00EC5C63">
        <w:rPr>
          <w:rStyle w:val="Heading2Char"/>
          <w:rFonts w:ascii="Open Sans" w:hAnsi="Open Sans" w:cs="Open Sans"/>
          <w:color w:val="auto"/>
          <w:sz w:val="22"/>
          <w:szCs w:val="22"/>
          <w:u w:val="none"/>
        </w:rPr>
        <w:fldChar w:fldCharType="begin" w:fldLock="1"/>
      </w:r>
      <w:r w:rsidR="0057467E">
        <w:rPr>
          <w:rStyle w:val="Heading2Char"/>
          <w:rFonts w:ascii="Open Sans" w:hAnsi="Open Sans" w:cs="Open Sans"/>
          <w:color w:val="auto"/>
          <w:sz w:val="22"/>
          <w:szCs w:val="22"/>
          <w:u w:val="none"/>
        </w:rPr>
        <w:instrText>ADDIN CSL_CITATION {"citationItems":[{"id":"ITEM-1","itemData":{"author":[{"dropping-particle":"","family":"Edwards","given":"E. A.","non-dropping-particle":"","parse-names":false,"suffix":""}],"id":"ITEM-1","issued":{"date-parts":[["1983"]]},"page":"1-21","publisher":"U.S. Dept. Int., FishWildl. Serv. FWS/OBS-82/10.35","title":"Habitat Suitability Index Models: Longnose Sucker","type":"article"},"uris":["http://www.mendeley.com/documents/?uuid=85f33dea-8a43-4da8-91e0-5cbe73f9afc2"]}],"mendeley":{"formattedCitation":"(Edwards 1983)","manualFormatting":"Edwards (1983)","plainTextFormattedCitation":"(Edwards 1983)","previouslyFormattedCitation":"(Edwards 1983)"},"properties":{"noteIndex":0},"schema":"https://github.com/citation-style-language/schema/raw/master/csl-citation.json"}</w:instrText>
      </w:r>
      <w:r w:rsidR="00EC5C63">
        <w:rPr>
          <w:rStyle w:val="Heading2Char"/>
          <w:rFonts w:ascii="Open Sans" w:hAnsi="Open Sans" w:cs="Open Sans"/>
          <w:color w:val="auto"/>
          <w:sz w:val="22"/>
          <w:szCs w:val="22"/>
          <w:u w:val="none"/>
        </w:rPr>
        <w:fldChar w:fldCharType="separate"/>
      </w:r>
      <w:r w:rsidR="00EC5C63" w:rsidRPr="00EC5C63">
        <w:rPr>
          <w:rStyle w:val="Heading2Char"/>
          <w:rFonts w:ascii="Open Sans" w:hAnsi="Open Sans" w:cs="Open Sans"/>
          <w:noProof/>
          <w:color w:val="auto"/>
          <w:sz w:val="22"/>
          <w:szCs w:val="22"/>
          <w:u w:val="none"/>
        </w:rPr>
        <w:t xml:space="preserve">Edwards </w:t>
      </w:r>
      <w:r w:rsidR="00970EC5">
        <w:rPr>
          <w:rStyle w:val="Heading2Char"/>
          <w:rFonts w:ascii="Open Sans" w:hAnsi="Open Sans" w:cs="Open Sans"/>
          <w:noProof/>
          <w:color w:val="auto"/>
          <w:sz w:val="22"/>
          <w:szCs w:val="22"/>
          <w:u w:val="none"/>
        </w:rPr>
        <w:t>(</w:t>
      </w:r>
      <w:r w:rsidR="00EC5C63" w:rsidRPr="00EC5C63">
        <w:rPr>
          <w:rStyle w:val="Heading2Char"/>
          <w:rFonts w:ascii="Open Sans" w:hAnsi="Open Sans" w:cs="Open Sans"/>
          <w:noProof/>
          <w:color w:val="auto"/>
          <w:sz w:val="22"/>
          <w:szCs w:val="22"/>
          <w:u w:val="none"/>
        </w:rPr>
        <w:t>1983)</w:t>
      </w:r>
      <w:r w:rsidR="00EC5C63">
        <w:rPr>
          <w:rStyle w:val="Heading2Char"/>
          <w:rFonts w:ascii="Open Sans" w:hAnsi="Open Sans" w:cs="Open Sans"/>
          <w:color w:val="auto"/>
          <w:sz w:val="22"/>
          <w:szCs w:val="22"/>
          <w:u w:val="none"/>
        </w:rPr>
        <w:fldChar w:fldCharType="end"/>
      </w:r>
      <w:r w:rsidR="008E378F">
        <w:rPr>
          <w:rStyle w:val="Heading2Char"/>
          <w:rFonts w:ascii="Open Sans" w:hAnsi="Open Sans" w:cs="Open Sans"/>
          <w:color w:val="auto"/>
          <w:sz w:val="22"/>
          <w:szCs w:val="22"/>
          <w:u w:val="none"/>
        </w:rPr>
        <w:t xml:space="preserve">. </w:t>
      </w:r>
      <w:r w:rsidR="00047B22">
        <w:rPr>
          <w:rStyle w:val="Heading2Char"/>
          <w:rFonts w:ascii="Open Sans" w:hAnsi="Open Sans" w:cs="Open Sans"/>
          <w:color w:val="auto"/>
          <w:sz w:val="22"/>
          <w:szCs w:val="22"/>
          <w:u w:val="none"/>
        </w:rPr>
        <w:t xml:space="preserve">In addition, we considered the expert opinion provided at the workshop conducted in November 2024.  </w:t>
      </w:r>
      <w:r w:rsidRPr="00896B24">
        <w:rPr>
          <w:rStyle w:val="Heading2Char"/>
          <w:rFonts w:ascii="Open Sans" w:hAnsi="Open Sans" w:cs="Open Sans"/>
          <w:color w:val="auto"/>
          <w:sz w:val="22"/>
          <w:szCs w:val="22"/>
          <w:u w:val="none"/>
        </w:rPr>
        <w:t>Max</w:t>
      </w:r>
      <w:r>
        <w:rPr>
          <w:rStyle w:val="Heading2Char"/>
          <w:rFonts w:ascii="Open Sans" w:hAnsi="Open Sans" w:cs="Open Sans"/>
          <w:color w:val="auto"/>
          <w:sz w:val="22"/>
          <w:szCs w:val="22"/>
          <w:u w:val="none"/>
        </w:rPr>
        <w:t>imum</w:t>
      </w:r>
      <w:r w:rsidRPr="00896B24">
        <w:rPr>
          <w:rStyle w:val="Heading2Char"/>
          <w:rFonts w:ascii="Open Sans" w:hAnsi="Open Sans" w:cs="Open Sans"/>
          <w:color w:val="auto"/>
          <w:sz w:val="22"/>
          <w:szCs w:val="22"/>
          <w:u w:val="none"/>
        </w:rPr>
        <w:t xml:space="preserve"> system capacity was defined by </w:t>
      </w:r>
      <w:r w:rsidR="004A56F6">
        <w:rPr>
          <w:rStyle w:val="Heading2Char"/>
          <w:rFonts w:ascii="Open Sans" w:hAnsi="Open Sans" w:cs="Open Sans"/>
          <w:color w:val="auto"/>
          <w:sz w:val="22"/>
          <w:szCs w:val="22"/>
          <w:u w:val="none"/>
        </w:rPr>
        <w:t xml:space="preserve">standardizing data to the </w:t>
      </w:r>
      <w:r w:rsidRPr="00896B24">
        <w:rPr>
          <w:rStyle w:val="Heading2Char"/>
          <w:rFonts w:ascii="Open Sans" w:hAnsi="Open Sans" w:cs="Open Sans"/>
          <w:color w:val="auto"/>
          <w:sz w:val="22"/>
          <w:szCs w:val="22"/>
          <w:u w:val="none"/>
        </w:rPr>
        <w:t xml:space="preserve">highest </w:t>
      </w:r>
      <w:r>
        <w:rPr>
          <w:rStyle w:val="Heading2Char"/>
          <w:rFonts w:ascii="Open Sans" w:hAnsi="Open Sans" w:cs="Open Sans"/>
          <w:color w:val="auto"/>
          <w:sz w:val="22"/>
          <w:szCs w:val="22"/>
          <w:u w:val="none"/>
        </w:rPr>
        <w:t xml:space="preserve">value for </w:t>
      </w:r>
      <w:r w:rsidRPr="004E34A4">
        <w:rPr>
          <w:rFonts w:ascii="Open Sans" w:eastAsiaTheme="minorEastAsia" w:hAnsi="Open Sans" w:cs="Open Sans"/>
          <w:color w:val="auto"/>
          <w:sz w:val="22"/>
          <w:szCs w:val="22"/>
          <w:u w:val="none"/>
        </w:rPr>
        <w:t>CPUE (fish trap</w:t>
      </w:r>
      <w:r w:rsidRPr="004E34A4">
        <w:rPr>
          <w:rFonts w:ascii="Open Sans" w:eastAsiaTheme="minorEastAsia" w:hAnsi="Open Sans" w:cs="Open Sans"/>
          <w:color w:val="auto"/>
          <w:sz w:val="22"/>
          <w:szCs w:val="22"/>
          <w:u w:val="none"/>
          <w:vertAlign w:val="superscript"/>
        </w:rPr>
        <w:t>-1</w:t>
      </w:r>
      <w:r w:rsidRPr="005949EB">
        <w:rPr>
          <w:rFonts w:ascii="Open Sans" w:eastAsiaTheme="minorEastAsia" w:hAnsi="Open Sans" w:cs="Open Sans"/>
          <w:color w:val="auto"/>
          <w:sz w:val="24"/>
          <w:szCs w:val="24"/>
        </w:rPr>
        <w:t>)</w:t>
      </w:r>
      <w:r w:rsidRPr="00896B24">
        <w:rPr>
          <w:rStyle w:val="Heading2Char"/>
          <w:rFonts w:ascii="Open Sans" w:hAnsi="Open Sans" w:cs="Open Sans"/>
          <w:color w:val="auto"/>
          <w:sz w:val="22"/>
          <w:szCs w:val="22"/>
          <w:u w:val="none"/>
        </w:rPr>
        <w:t>.</w:t>
      </w:r>
      <w:r>
        <w:rPr>
          <w:rStyle w:val="Heading2Char"/>
          <w:rFonts w:ascii="Open Sans" w:hAnsi="Open Sans" w:cs="Open Sans"/>
          <w:color w:val="auto"/>
          <w:sz w:val="22"/>
          <w:szCs w:val="22"/>
          <w:u w:val="none"/>
        </w:rPr>
        <w:t xml:space="preserve"> </w:t>
      </w:r>
      <w:r w:rsidR="00214E69">
        <w:rPr>
          <w:rStyle w:val="Heading2Char"/>
          <w:rFonts w:ascii="Open Sans" w:hAnsi="Open Sans" w:cs="Open Sans"/>
          <w:color w:val="auto"/>
          <w:sz w:val="22"/>
          <w:szCs w:val="22"/>
          <w:u w:val="none"/>
        </w:rPr>
        <w:t xml:space="preserve">It should be noted that Salish sucker are thought to be somewhat more warm-adapted than Longnose sucker, which are much more widely distributed and considered to be a cool-water species; temperature data for Salish sucker appears to support this inference, since the temperature curve foe Salish sucker appears right-shifted to higher temperatures relative to Longnose sucker. </w:t>
      </w:r>
      <w:r w:rsidR="004A56F6">
        <w:rPr>
          <w:rStyle w:val="Heading2Char"/>
          <w:rFonts w:ascii="Open Sans" w:hAnsi="Open Sans" w:cs="Open Sans"/>
          <w:color w:val="auto"/>
          <w:sz w:val="22"/>
          <w:szCs w:val="22"/>
          <w:u w:val="none"/>
        </w:rPr>
        <w:t>The f</w:t>
      </w:r>
      <w:r w:rsidR="004A56F6" w:rsidRPr="00913BB3">
        <w:rPr>
          <w:rStyle w:val="Heading2Char"/>
          <w:rFonts w:ascii="Open Sans" w:hAnsi="Open Sans" w:cs="Open Sans"/>
          <w:color w:val="auto"/>
          <w:sz w:val="22"/>
          <w:szCs w:val="22"/>
          <w:u w:val="none"/>
        </w:rPr>
        <w:t xml:space="preserve">inal </w:t>
      </w:r>
      <w:r w:rsidR="00913BB3" w:rsidRPr="00913BB3">
        <w:rPr>
          <w:rStyle w:val="Heading2Char"/>
          <w:rFonts w:ascii="Open Sans" w:hAnsi="Open Sans" w:cs="Open Sans"/>
          <w:color w:val="auto"/>
          <w:sz w:val="22"/>
          <w:szCs w:val="22"/>
          <w:u w:val="none"/>
        </w:rPr>
        <w:t xml:space="preserve">curve was derived by fitting a Generalized Additive Model (GAM) to original </w:t>
      </w:r>
      <w:r w:rsidR="004A56F6">
        <w:rPr>
          <w:rStyle w:val="Heading2Char"/>
          <w:rFonts w:ascii="Open Sans" w:hAnsi="Open Sans" w:cs="Open Sans"/>
          <w:color w:val="auto"/>
          <w:sz w:val="22"/>
          <w:szCs w:val="22"/>
          <w:u w:val="none"/>
        </w:rPr>
        <w:t xml:space="preserve">CPUE </w:t>
      </w:r>
      <w:r w:rsidR="00913BB3" w:rsidRPr="00913BB3">
        <w:rPr>
          <w:rStyle w:val="Heading2Char"/>
          <w:rFonts w:ascii="Open Sans" w:hAnsi="Open Sans" w:cs="Open Sans"/>
          <w:color w:val="auto"/>
          <w:sz w:val="22"/>
          <w:szCs w:val="22"/>
          <w:u w:val="none"/>
        </w:rPr>
        <w:t>data</w:t>
      </w:r>
      <w:r w:rsidR="00913BB3" w:rsidRPr="00913BB3">
        <w:rPr>
          <w:rStyle w:val="Heading1Char"/>
          <w:rFonts w:ascii="Open Sans" w:hAnsi="Open Sans" w:cs="Open Sans"/>
          <w:color w:val="auto"/>
          <w:sz w:val="22"/>
          <w:szCs w:val="22"/>
          <w:u w:val="none"/>
        </w:rPr>
        <w:t xml:space="preserve"> </w:t>
      </w:r>
      <w:r w:rsidR="004A56F6">
        <w:rPr>
          <w:rStyle w:val="Heading1Char"/>
          <w:rFonts w:ascii="Open Sans" w:hAnsi="Open Sans" w:cs="Open Sans"/>
          <w:color w:val="auto"/>
          <w:sz w:val="22"/>
          <w:szCs w:val="22"/>
          <w:u w:val="none"/>
        </w:rPr>
        <w:t xml:space="preserve">from </w:t>
      </w:r>
      <w:r w:rsidR="00913BB3" w:rsidRPr="00913BB3">
        <w:rPr>
          <w:rStyle w:val="Heading2Char"/>
          <w:rFonts w:ascii="Open Sans" w:hAnsi="Open Sans" w:cs="Open Sans"/>
          <w:color w:val="auto"/>
          <w:sz w:val="22"/>
          <w:szCs w:val="22"/>
          <w:u w:val="none"/>
        </w:rPr>
        <w:t xml:space="preserve">Rosenfeld et al. </w:t>
      </w:r>
      <w:r w:rsidR="00913BB3">
        <w:rPr>
          <w:rStyle w:val="Heading2Char"/>
          <w:rFonts w:ascii="Open Sans" w:hAnsi="Open Sans" w:cs="Open Sans"/>
          <w:color w:val="auto"/>
          <w:sz w:val="22"/>
          <w:szCs w:val="22"/>
          <w:u w:val="none"/>
        </w:rPr>
        <w:t>(</w:t>
      </w:r>
      <w:r w:rsidR="00913BB3" w:rsidRPr="00913BB3">
        <w:rPr>
          <w:rStyle w:val="Heading2Char"/>
          <w:rFonts w:ascii="Open Sans" w:hAnsi="Open Sans" w:cs="Open Sans"/>
          <w:color w:val="auto"/>
          <w:sz w:val="22"/>
          <w:szCs w:val="22"/>
          <w:u w:val="none"/>
        </w:rPr>
        <w:t>2021</w:t>
      </w:r>
      <w:r w:rsidR="00913BB3">
        <w:rPr>
          <w:rStyle w:val="Heading2Char"/>
          <w:rFonts w:ascii="Open Sans" w:hAnsi="Open Sans" w:cs="Open Sans"/>
          <w:color w:val="auto"/>
          <w:sz w:val="22"/>
          <w:szCs w:val="22"/>
          <w:u w:val="none"/>
        </w:rPr>
        <w:t>)</w:t>
      </w:r>
      <w:r w:rsidR="00913BB3" w:rsidRPr="00913BB3">
        <w:rPr>
          <w:rStyle w:val="Heading2Char"/>
          <w:rFonts w:ascii="Open Sans" w:hAnsi="Open Sans" w:cs="Open Sans"/>
          <w:color w:val="auto"/>
          <w:sz w:val="22"/>
          <w:szCs w:val="22"/>
          <w:u w:val="none"/>
        </w:rPr>
        <w:t xml:space="preserve">. </w:t>
      </w:r>
      <w:r w:rsidR="00F46F1B" w:rsidRPr="00F46F1B">
        <w:rPr>
          <w:rStyle w:val="Heading2Char"/>
          <w:rFonts w:ascii="Open Sans" w:hAnsi="Open Sans" w:cs="Open Sans"/>
          <w:color w:val="auto"/>
          <w:sz w:val="22"/>
          <w:szCs w:val="22"/>
          <w:u w:val="none"/>
        </w:rPr>
        <w:t xml:space="preserve">The fitted </w:t>
      </w:r>
      <w:r w:rsidR="004A56F6">
        <w:rPr>
          <w:rStyle w:val="Heading2Char"/>
          <w:rFonts w:ascii="Open Sans" w:hAnsi="Open Sans" w:cs="Open Sans"/>
          <w:color w:val="auto"/>
          <w:sz w:val="22"/>
          <w:szCs w:val="22"/>
          <w:u w:val="none"/>
        </w:rPr>
        <w:t xml:space="preserve">GAM </w:t>
      </w:r>
      <w:r w:rsidR="00F46F1B" w:rsidRPr="00F46F1B">
        <w:rPr>
          <w:rStyle w:val="Heading2Char"/>
          <w:rFonts w:ascii="Open Sans" w:hAnsi="Open Sans" w:cs="Open Sans"/>
          <w:color w:val="auto"/>
          <w:sz w:val="22"/>
          <w:szCs w:val="22"/>
          <w:u w:val="none"/>
        </w:rPr>
        <w:t xml:space="preserve">curve was marginally significant (p&lt;0.1) with wide confidence intervals at </w:t>
      </w:r>
      <w:r w:rsidR="004A56F6">
        <w:rPr>
          <w:rStyle w:val="Heading2Char"/>
          <w:rFonts w:ascii="Open Sans" w:hAnsi="Open Sans" w:cs="Open Sans"/>
          <w:color w:val="auto"/>
          <w:sz w:val="22"/>
          <w:szCs w:val="22"/>
          <w:u w:val="none"/>
        </w:rPr>
        <w:t xml:space="preserve">the high and low temperature </w:t>
      </w:r>
      <w:r w:rsidR="00F46F1B" w:rsidRPr="00F46F1B">
        <w:rPr>
          <w:rStyle w:val="Heading2Char"/>
          <w:rFonts w:ascii="Open Sans" w:hAnsi="Open Sans" w:cs="Open Sans"/>
          <w:color w:val="auto"/>
          <w:sz w:val="22"/>
          <w:szCs w:val="22"/>
          <w:u w:val="none"/>
        </w:rPr>
        <w:t xml:space="preserve">extremes, which </w:t>
      </w:r>
      <w:r w:rsidR="004A56F6">
        <w:rPr>
          <w:rStyle w:val="Heading2Char"/>
          <w:rFonts w:ascii="Open Sans" w:hAnsi="Open Sans" w:cs="Open Sans"/>
          <w:color w:val="auto"/>
          <w:sz w:val="22"/>
          <w:szCs w:val="22"/>
          <w:u w:val="none"/>
        </w:rPr>
        <w:t xml:space="preserve">is </w:t>
      </w:r>
      <w:r w:rsidR="00F46F1B" w:rsidRPr="00F46F1B">
        <w:rPr>
          <w:rStyle w:val="Heading2Char"/>
          <w:rFonts w:ascii="Open Sans" w:hAnsi="Open Sans" w:cs="Open Sans"/>
          <w:color w:val="auto"/>
          <w:sz w:val="22"/>
          <w:szCs w:val="22"/>
          <w:u w:val="none"/>
        </w:rPr>
        <w:t xml:space="preserve">likely due to fewer data points at very low and high temperatures. However, we can be </w:t>
      </w:r>
      <w:r w:rsidR="004A56F6">
        <w:rPr>
          <w:rStyle w:val="Heading2Char"/>
          <w:rFonts w:ascii="Open Sans" w:hAnsi="Open Sans" w:cs="Open Sans"/>
          <w:color w:val="auto"/>
          <w:sz w:val="22"/>
          <w:szCs w:val="22"/>
          <w:u w:val="none"/>
        </w:rPr>
        <w:t xml:space="preserve">fairly </w:t>
      </w:r>
      <w:r w:rsidR="00F46F1B" w:rsidRPr="00F46F1B">
        <w:rPr>
          <w:rStyle w:val="Heading2Char"/>
          <w:rFonts w:ascii="Open Sans" w:hAnsi="Open Sans" w:cs="Open Sans"/>
          <w:color w:val="auto"/>
          <w:sz w:val="22"/>
          <w:szCs w:val="22"/>
          <w:u w:val="none"/>
        </w:rPr>
        <w:t>confiden</w:t>
      </w:r>
      <w:r w:rsidR="004A56F6">
        <w:rPr>
          <w:rStyle w:val="Heading2Char"/>
          <w:rFonts w:ascii="Open Sans" w:hAnsi="Open Sans" w:cs="Open Sans"/>
          <w:color w:val="auto"/>
          <w:sz w:val="22"/>
          <w:szCs w:val="22"/>
          <w:u w:val="none"/>
        </w:rPr>
        <w:t>t that the confidence</w:t>
      </w:r>
      <w:r w:rsidR="00F46F1B" w:rsidRPr="00F46F1B">
        <w:rPr>
          <w:rStyle w:val="Heading2Char"/>
          <w:rFonts w:ascii="Open Sans" w:hAnsi="Open Sans" w:cs="Open Sans"/>
          <w:color w:val="auto"/>
          <w:sz w:val="22"/>
          <w:szCs w:val="22"/>
          <w:u w:val="none"/>
        </w:rPr>
        <w:t xml:space="preserve"> intervals </w:t>
      </w:r>
      <w:r w:rsidR="004A56F6">
        <w:rPr>
          <w:rStyle w:val="Heading2Char"/>
          <w:rFonts w:ascii="Open Sans" w:hAnsi="Open Sans" w:cs="Open Sans"/>
          <w:color w:val="auto"/>
          <w:sz w:val="22"/>
          <w:szCs w:val="22"/>
          <w:u w:val="none"/>
        </w:rPr>
        <w:t>are in fact likely low</w:t>
      </w:r>
      <w:r w:rsidR="00F46F1B" w:rsidRPr="00F46F1B">
        <w:rPr>
          <w:rStyle w:val="Heading2Char"/>
          <w:rFonts w:ascii="Open Sans" w:hAnsi="Open Sans" w:cs="Open Sans"/>
          <w:color w:val="auto"/>
          <w:sz w:val="22"/>
          <w:szCs w:val="22"/>
          <w:u w:val="none"/>
        </w:rPr>
        <w:t xml:space="preserve"> at </w:t>
      </w:r>
      <w:r w:rsidR="004A56F6">
        <w:rPr>
          <w:rStyle w:val="Heading2Char"/>
          <w:rFonts w:ascii="Open Sans" w:hAnsi="Open Sans" w:cs="Open Sans"/>
          <w:color w:val="auto"/>
          <w:sz w:val="22"/>
          <w:szCs w:val="22"/>
          <w:u w:val="none"/>
        </w:rPr>
        <w:t>very high and low temperatures, despite the wide intervals implied by the GAM.  This is apparent in the narrower confidence intervals in the CPUE-temperature function fit to temperature classes in Rosenfeld et al. (2021</w:t>
      </w:r>
      <w:r w:rsidR="007328B6">
        <w:rPr>
          <w:rStyle w:val="Heading2Char"/>
          <w:rFonts w:ascii="Open Sans" w:hAnsi="Open Sans" w:cs="Open Sans"/>
          <w:color w:val="auto"/>
          <w:sz w:val="22"/>
          <w:szCs w:val="22"/>
          <w:u w:val="none"/>
        </w:rPr>
        <w:t>; see Fig. 2 below)</w:t>
      </w:r>
      <w:r w:rsidR="00F46F1B" w:rsidRPr="00F46F1B">
        <w:rPr>
          <w:rStyle w:val="Heading2Char"/>
          <w:rFonts w:ascii="Open Sans" w:hAnsi="Open Sans" w:cs="Open Sans"/>
          <w:color w:val="auto"/>
          <w:sz w:val="22"/>
          <w:szCs w:val="22"/>
          <w:u w:val="none"/>
        </w:rPr>
        <w:t xml:space="preserve">. </w:t>
      </w:r>
      <w:r w:rsidR="00913BB3">
        <w:rPr>
          <w:rStyle w:val="Heading2Char"/>
          <w:rFonts w:ascii="Open Sans" w:hAnsi="Open Sans" w:cs="Open Sans"/>
          <w:color w:val="auto"/>
          <w:sz w:val="22"/>
          <w:szCs w:val="22"/>
          <w:u w:val="none"/>
        </w:rPr>
        <w:t>The l</w:t>
      </w:r>
      <w:r w:rsidR="00913BB3" w:rsidRPr="00913BB3">
        <w:rPr>
          <w:rStyle w:val="Heading2Char"/>
          <w:rFonts w:ascii="Open Sans" w:hAnsi="Open Sans" w:cs="Open Sans"/>
          <w:color w:val="auto"/>
          <w:sz w:val="22"/>
          <w:szCs w:val="22"/>
          <w:u w:val="none"/>
        </w:rPr>
        <w:t xml:space="preserve">ower and upper </w:t>
      </w:r>
      <w:r w:rsidR="00913BB3">
        <w:rPr>
          <w:rStyle w:val="Heading2Char"/>
          <w:rFonts w:ascii="Open Sans" w:hAnsi="Open Sans" w:cs="Open Sans"/>
          <w:color w:val="auto"/>
          <w:sz w:val="22"/>
          <w:szCs w:val="22"/>
          <w:u w:val="none"/>
        </w:rPr>
        <w:t xml:space="preserve">x-intercepts </w:t>
      </w:r>
      <w:r w:rsidR="007328B6">
        <w:rPr>
          <w:rStyle w:val="Heading2Char"/>
          <w:rFonts w:ascii="Open Sans" w:hAnsi="Open Sans" w:cs="Open Sans"/>
          <w:color w:val="auto"/>
          <w:sz w:val="22"/>
          <w:szCs w:val="22"/>
          <w:u w:val="none"/>
        </w:rPr>
        <w:t xml:space="preserve">in the final function </w:t>
      </w:r>
      <w:r w:rsidR="00913BB3" w:rsidRPr="00913BB3">
        <w:rPr>
          <w:rStyle w:val="Heading2Char"/>
          <w:rFonts w:ascii="Open Sans" w:hAnsi="Open Sans" w:cs="Open Sans"/>
          <w:color w:val="auto"/>
          <w:sz w:val="22"/>
          <w:szCs w:val="22"/>
          <w:u w:val="none"/>
        </w:rPr>
        <w:t>(</w:t>
      </w:r>
      <w:r w:rsidR="004A56F6">
        <w:rPr>
          <w:rStyle w:val="Heading2Char"/>
          <w:rFonts w:ascii="Open Sans" w:hAnsi="Open Sans" w:cs="Open Sans"/>
          <w:color w:val="auto"/>
          <w:sz w:val="22"/>
          <w:szCs w:val="22"/>
          <w:u w:val="none"/>
        </w:rPr>
        <w:t>t</w:t>
      </w:r>
      <w:r w:rsidR="004A56F6" w:rsidRPr="00913BB3">
        <w:rPr>
          <w:rStyle w:val="Heading2Char"/>
          <w:rFonts w:ascii="Open Sans" w:hAnsi="Open Sans" w:cs="Open Sans"/>
          <w:color w:val="auto"/>
          <w:sz w:val="22"/>
          <w:szCs w:val="22"/>
          <w:u w:val="none"/>
        </w:rPr>
        <w:t>emp</w:t>
      </w:r>
      <w:r w:rsidR="004A56F6">
        <w:rPr>
          <w:rStyle w:val="Heading2Char"/>
          <w:rFonts w:ascii="Open Sans" w:hAnsi="Open Sans" w:cs="Open Sans"/>
          <w:color w:val="auto"/>
          <w:sz w:val="22"/>
          <w:szCs w:val="22"/>
          <w:u w:val="none"/>
        </w:rPr>
        <w:t>erature</w:t>
      </w:r>
      <w:r w:rsidR="004A56F6" w:rsidRPr="00913BB3">
        <w:rPr>
          <w:rStyle w:val="Heading2Char"/>
          <w:rFonts w:ascii="Open Sans" w:hAnsi="Open Sans" w:cs="Open Sans"/>
          <w:color w:val="auto"/>
          <w:sz w:val="22"/>
          <w:szCs w:val="22"/>
          <w:u w:val="none"/>
        </w:rPr>
        <w:t xml:space="preserve"> </w:t>
      </w:r>
      <w:r w:rsidR="00913BB3" w:rsidRPr="00913BB3">
        <w:rPr>
          <w:rStyle w:val="Heading2Char"/>
          <w:rFonts w:ascii="Open Sans" w:hAnsi="Open Sans" w:cs="Open Sans"/>
          <w:color w:val="auto"/>
          <w:sz w:val="22"/>
          <w:szCs w:val="22"/>
          <w:u w:val="none"/>
        </w:rPr>
        <w:t>at which system capacity is 0</w:t>
      </w:r>
      <w:r w:rsidR="004A56F6">
        <w:rPr>
          <w:rStyle w:val="Heading2Char"/>
          <w:rFonts w:ascii="Open Sans" w:hAnsi="Open Sans" w:cs="Open Sans"/>
          <w:color w:val="auto"/>
          <w:sz w:val="22"/>
          <w:szCs w:val="22"/>
          <w:u w:val="none"/>
        </w:rPr>
        <w:t xml:space="preserve">, </w:t>
      </w:r>
      <w:r w:rsidR="007328B6">
        <w:rPr>
          <w:rStyle w:val="Heading2Char"/>
          <w:rFonts w:ascii="Open Sans" w:hAnsi="Open Sans" w:cs="Open Sans"/>
          <w:color w:val="auto"/>
          <w:sz w:val="22"/>
          <w:szCs w:val="22"/>
          <w:u w:val="none"/>
        </w:rPr>
        <w:t xml:space="preserve">i.e., </w:t>
      </w:r>
      <w:r w:rsidR="004A56F6">
        <w:rPr>
          <w:rStyle w:val="Heading2Char"/>
          <w:rFonts w:ascii="Open Sans" w:hAnsi="Open Sans" w:cs="Open Sans"/>
          <w:color w:val="auto"/>
          <w:sz w:val="22"/>
          <w:szCs w:val="22"/>
          <w:u w:val="none"/>
        </w:rPr>
        <w:t>6</w:t>
      </w:r>
      <w:r w:rsidR="007328B6" w:rsidRPr="00F31351">
        <w:rPr>
          <w:rFonts w:ascii="Open Sans" w:eastAsiaTheme="minorEastAsia" w:hAnsi="Open Sans" w:cs="Open Sans"/>
          <w:color w:val="auto"/>
          <w:sz w:val="24"/>
          <w:szCs w:val="24"/>
          <w:vertAlign w:val="superscript"/>
        </w:rPr>
        <w:t>o</w:t>
      </w:r>
      <w:r w:rsidR="004A56F6">
        <w:rPr>
          <w:rStyle w:val="Heading2Char"/>
          <w:rFonts w:ascii="Open Sans" w:hAnsi="Open Sans" w:cs="Open Sans"/>
          <w:color w:val="auto"/>
          <w:sz w:val="22"/>
          <w:szCs w:val="22"/>
          <w:u w:val="none"/>
        </w:rPr>
        <w:t>C and 23</w:t>
      </w:r>
      <w:r w:rsidR="007328B6" w:rsidRPr="00F31351">
        <w:rPr>
          <w:rFonts w:ascii="Open Sans" w:eastAsiaTheme="minorEastAsia" w:hAnsi="Open Sans" w:cs="Open Sans"/>
          <w:color w:val="auto"/>
          <w:sz w:val="24"/>
          <w:szCs w:val="24"/>
          <w:vertAlign w:val="superscript"/>
        </w:rPr>
        <w:t>o</w:t>
      </w:r>
      <w:r w:rsidR="004A56F6">
        <w:rPr>
          <w:rStyle w:val="Heading2Char"/>
          <w:rFonts w:ascii="Open Sans" w:hAnsi="Open Sans" w:cs="Open Sans"/>
          <w:color w:val="auto"/>
          <w:sz w:val="22"/>
          <w:szCs w:val="22"/>
          <w:u w:val="none"/>
        </w:rPr>
        <w:t>C respectively</w:t>
      </w:r>
      <w:r w:rsidR="00913BB3" w:rsidRPr="00913BB3">
        <w:rPr>
          <w:rStyle w:val="Heading2Char"/>
          <w:rFonts w:ascii="Open Sans" w:hAnsi="Open Sans" w:cs="Open Sans"/>
          <w:color w:val="auto"/>
          <w:sz w:val="22"/>
          <w:szCs w:val="22"/>
          <w:u w:val="none"/>
        </w:rPr>
        <w:t>) were determined based on</w:t>
      </w:r>
      <w:r w:rsidR="007328B6">
        <w:rPr>
          <w:rStyle w:val="Heading2Char"/>
          <w:rFonts w:ascii="Open Sans" w:hAnsi="Open Sans" w:cs="Open Sans"/>
          <w:color w:val="auto"/>
          <w:sz w:val="22"/>
          <w:szCs w:val="22"/>
          <w:u w:val="none"/>
        </w:rPr>
        <w:t xml:space="preserve"> the upper and lower temperatures where fish were caught in traps (see supporting SR function Excel file, cells AK157 and AK 171)</w:t>
      </w:r>
      <w:r w:rsidR="00913BB3" w:rsidRPr="00913BB3">
        <w:rPr>
          <w:rStyle w:val="Heading2Char"/>
          <w:rFonts w:ascii="Open Sans" w:hAnsi="Open Sans" w:cs="Open Sans"/>
          <w:color w:val="auto"/>
          <w:sz w:val="22"/>
          <w:szCs w:val="22"/>
          <w:u w:val="none"/>
        </w:rPr>
        <w:t>.</w:t>
      </w:r>
      <w:r w:rsidR="00A353D2" w:rsidRPr="00F41A31">
        <w:rPr>
          <w:rStyle w:val="Heading2Char"/>
          <w:rFonts w:ascii="Open Sans" w:hAnsi="Open Sans" w:cs="Open Sans"/>
          <w:color w:val="auto"/>
          <w:sz w:val="22"/>
          <w:szCs w:val="22"/>
          <w:u w:val="none"/>
        </w:rPr>
        <w:t xml:space="preserve"> </w:t>
      </w:r>
      <w:r w:rsidR="00913BB3" w:rsidRPr="00913BB3">
        <w:rPr>
          <w:rFonts w:ascii="Open Sans" w:eastAsiaTheme="minorEastAsia" w:hAnsi="Open Sans" w:cs="Open Sans"/>
          <w:color w:val="auto"/>
          <w:sz w:val="22"/>
          <w:szCs w:val="22"/>
          <w:u w:val="none"/>
        </w:rPr>
        <w:t>The</w:t>
      </w:r>
      <w:r w:rsidR="00913BB3">
        <w:rPr>
          <w:rFonts w:ascii="Open Sans" w:eastAsiaTheme="minorEastAsia" w:hAnsi="Open Sans" w:cs="Open Sans"/>
          <w:color w:val="auto"/>
          <w:sz w:val="24"/>
          <w:szCs w:val="24"/>
        </w:rPr>
        <w:t xml:space="preserve"> </w:t>
      </w:r>
      <w:r w:rsidR="00913BB3" w:rsidRPr="00896B24">
        <w:rPr>
          <w:rStyle w:val="Heading2Char"/>
          <w:rFonts w:ascii="Open Sans" w:hAnsi="Open Sans" w:cs="Open Sans"/>
          <w:color w:val="auto"/>
          <w:sz w:val="22"/>
          <w:szCs w:val="22"/>
          <w:u w:val="none"/>
        </w:rPr>
        <w:t xml:space="preserve">habitat suitability </w:t>
      </w:r>
      <w:r w:rsidR="00913BB3">
        <w:rPr>
          <w:rStyle w:val="Heading2Char"/>
          <w:rFonts w:ascii="Open Sans" w:hAnsi="Open Sans" w:cs="Open Sans"/>
          <w:color w:val="auto"/>
          <w:sz w:val="22"/>
          <w:szCs w:val="22"/>
          <w:u w:val="none"/>
        </w:rPr>
        <w:t xml:space="preserve">index model for Longnose Sucker </w:t>
      </w:r>
      <w:r w:rsidR="00913BB3">
        <w:rPr>
          <w:rStyle w:val="Heading2Char"/>
          <w:rFonts w:ascii="Open Sans" w:hAnsi="Open Sans" w:cs="Open Sans"/>
          <w:color w:val="auto"/>
          <w:sz w:val="22"/>
          <w:szCs w:val="22"/>
          <w:u w:val="none"/>
        </w:rPr>
        <w:fldChar w:fldCharType="begin" w:fldLock="1"/>
      </w:r>
      <w:r w:rsidR="0057467E">
        <w:rPr>
          <w:rStyle w:val="Heading2Char"/>
          <w:rFonts w:ascii="Open Sans" w:hAnsi="Open Sans" w:cs="Open Sans"/>
          <w:color w:val="auto"/>
          <w:sz w:val="22"/>
          <w:szCs w:val="22"/>
          <w:u w:val="none"/>
        </w:rPr>
        <w:instrText>ADDIN CSL_CITATION {"citationItems":[{"id":"ITEM-1","itemData":{"author":[{"dropping-particle":"","family":"Edwards","given":"E. A.","non-dropping-particle":"","parse-names":false,"suffix":""}],"id":"ITEM-1","issued":{"date-parts":[["1983"]]},"page":"1-21","publisher":"U.S. Dept. Int., FishWildl. Serv. FWS/OBS-82/10.35","title":"Habitat Suitability Index Models: Longnose Sucker","type":"article"},"uris":["http://www.mendeley.com/documents/?uuid=85f33dea-8a43-4da8-91e0-5cbe73f9afc2"]}],"mendeley":{"formattedCitation":"(Edwards 1983)","plainTextFormattedCitation":"(Edwards 1983)","previouslyFormattedCitation":"(Edwards 1983)"},"properties":{"noteIndex":0},"schema":"https://github.com/citation-style-language/schema/raw/master/csl-citation.json"}</w:instrText>
      </w:r>
      <w:r w:rsidR="00913BB3">
        <w:rPr>
          <w:rStyle w:val="Heading2Char"/>
          <w:rFonts w:ascii="Open Sans" w:hAnsi="Open Sans" w:cs="Open Sans"/>
          <w:color w:val="auto"/>
          <w:sz w:val="22"/>
          <w:szCs w:val="22"/>
          <w:u w:val="none"/>
        </w:rPr>
        <w:fldChar w:fldCharType="separate"/>
      </w:r>
      <w:r w:rsidR="00913BB3" w:rsidRPr="00EC5C63">
        <w:rPr>
          <w:rStyle w:val="Heading2Char"/>
          <w:rFonts w:ascii="Open Sans" w:hAnsi="Open Sans" w:cs="Open Sans"/>
          <w:noProof/>
          <w:color w:val="auto"/>
          <w:sz w:val="22"/>
          <w:szCs w:val="22"/>
          <w:u w:val="none"/>
        </w:rPr>
        <w:t>(Edwards 1983)</w:t>
      </w:r>
      <w:r w:rsidR="00913BB3">
        <w:rPr>
          <w:rStyle w:val="Heading2Char"/>
          <w:rFonts w:ascii="Open Sans" w:hAnsi="Open Sans" w:cs="Open Sans"/>
          <w:color w:val="auto"/>
          <w:sz w:val="22"/>
          <w:szCs w:val="22"/>
          <w:u w:val="none"/>
        </w:rPr>
        <w:fldChar w:fldCharType="end"/>
      </w:r>
      <w:r w:rsidR="00913BB3">
        <w:rPr>
          <w:rStyle w:val="Heading2Char"/>
          <w:rFonts w:ascii="Open Sans" w:hAnsi="Open Sans" w:cs="Open Sans"/>
          <w:color w:val="auto"/>
          <w:sz w:val="22"/>
          <w:szCs w:val="22"/>
          <w:u w:val="none"/>
        </w:rPr>
        <w:t xml:space="preserve"> provided </w:t>
      </w:r>
      <w:r w:rsidR="004A56F6">
        <w:rPr>
          <w:rStyle w:val="Heading2Char"/>
          <w:rFonts w:ascii="Open Sans" w:hAnsi="Open Sans" w:cs="Open Sans"/>
          <w:color w:val="auto"/>
          <w:sz w:val="22"/>
          <w:szCs w:val="22"/>
          <w:u w:val="none"/>
        </w:rPr>
        <w:t xml:space="preserve">additional </w:t>
      </w:r>
      <w:r w:rsidR="00913BB3">
        <w:rPr>
          <w:rStyle w:val="Heading2Char"/>
          <w:rFonts w:ascii="Open Sans" w:hAnsi="Open Sans" w:cs="Open Sans"/>
          <w:color w:val="auto"/>
          <w:sz w:val="22"/>
          <w:szCs w:val="22"/>
          <w:u w:val="none"/>
        </w:rPr>
        <w:t>supportive evidence for the shape of the function</w:t>
      </w:r>
      <w:r w:rsidR="007328B6">
        <w:rPr>
          <w:rStyle w:val="Heading2Char"/>
          <w:rFonts w:ascii="Open Sans" w:hAnsi="Open Sans" w:cs="Open Sans"/>
          <w:color w:val="auto"/>
          <w:sz w:val="22"/>
          <w:szCs w:val="22"/>
          <w:u w:val="none"/>
        </w:rPr>
        <w:t xml:space="preserve">, as did superimposition of Pearson (2004) data on top of the CPUE-temperature SR function. </w:t>
      </w:r>
      <w:r w:rsidR="00B63DE0">
        <w:rPr>
          <w:rStyle w:val="Heading2Char"/>
          <w:rFonts w:ascii="Open Sans" w:hAnsi="Open Sans" w:cs="Open Sans"/>
          <w:color w:val="auto"/>
          <w:sz w:val="22"/>
          <w:szCs w:val="22"/>
          <w:u w:val="none"/>
        </w:rPr>
        <w:t xml:space="preserve">The function was </w:t>
      </w:r>
      <w:r w:rsidR="001C31D2">
        <w:rPr>
          <w:rStyle w:val="Heading2Char"/>
          <w:rFonts w:ascii="Open Sans" w:hAnsi="Open Sans" w:cs="Open Sans"/>
          <w:color w:val="auto"/>
          <w:sz w:val="22"/>
          <w:szCs w:val="22"/>
          <w:u w:val="none"/>
        </w:rPr>
        <w:t xml:space="preserve">further </w:t>
      </w:r>
      <w:r w:rsidR="00B63DE0">
        <w:rPr>
          <w:rStyle w:val="Heading2Char"/>
          <w:rFonts w:ascii="Open Sans" w:hAnsi="Open Sans" w:cs="Open Sans"/>
          <w:color w:val="auto"/>
          <w:sz w:val="22"/>
          <w:szCs w:val="22"/>
          <w:u w:val="none"/>
        </w:rPr>
        <w:t xml:space="preserve">modified based on input received at the </w:t>
      </w:r>
      <w:r w:rsidR="001C31D2">
        <w:rPr>
          <w:rStyle w:val="Heading2Char"/>
          <w:rFonts w:ascii="Open Sans" w:hAnsi="Open Sans" w:cs="Open Sans"/>
          <w:color w:val="auto"/>
          <w:sz w:val="22"/>
          <w:szCs w:val="22"/>
          <w:u w:val="none"/>
        </w:rPr>
        <w:t xml:space="preserve">expert </w:t>
      </w:r>
      <w:r w:rsidR="00B63DE0">
        <w:rPr>
          <w:rStyle w:val="Heading2Char"/>
          <w:rFonts w:ascii="Open Sans" w:hAnsi="Open Sans" w:cs="Open Sans"/>
          <w:color w:val="auto"/>
          <w:sz w:val="22"/>
          <w:szCs w:val="22"/>
          <w:u w:val="none"/>
        </w:rPr>
        <w:t xml:space="preserve">workshop </w:t>
      </w:r>
      <w:r w:rsidR="00D56878">
        <w:rPr>
          <w:rStyle w:val="Heading2Char"/>
          <w:rFonts w:ascii="Open Sans" w:hAnsi="Open Sans" w:cs="Open Sans"/>
          <w:color w:val="auto"/>
          <w:sz w:val="22"/>
          <w:szCs w:val="22"/>
          <w:u w:val="none"/>
        </w:rPr>
        <w:t>i.e. t</w:t>
      </w:r>
      <w:r w:rsidR="008931D0" w:rsidRPr="008931D0">
        <w:rPr>
          <w:rStyle w:val="Heading2Char"/>
          <w:rFonts w:ascii="Open Sans" w:hAnsi="Open Sans" w:cs="Open Sans"/>
          <w:color w:val="auto"/>
          <w:sz w:val="22"/>
          <w:szCs w:val="22"/>
          <w:u w:val="none"/>
        </w:rPr>
        <w:t xml:space="preserve">he response to </w:t>
      </w:r>
      <w:r w:rsidR="008931D0" w:rsidRPr="008931D0">
        <w:rPr>
          <w:rStyle w:val="Heading2Char"/>
          <w:rFonts w:ascii="Open Sans" w:hAnsi="Open Sans" w:cs="Open Sans"/>
          <w:color w:val="auto"/>
          <w:sz w:val="22"/>
          <w:szCs w:val="22"/>
          <w:u w:val="none"/>
        </w:rPr>
        <w:t>temperature</w:t>
      </w:r>
      <w:r w:rsidR="008931D0" w:rsidRPr="008931D0">
        <w:rPr>
          <w:rStyle w:val="Heading2Char"/>
          <w:rFonts w:ascii="Open Sans" w:hAnsi="Open Sans" w:cs="Open Sans"/>
          <w:color w:val="auto"/>
          <w:sz w:val="22"/>
          <w:szCs w:val="22"/>
          <w:u w:val="none"/>
        </w:rPr>
        <w:t xml:space="preserve"> should be a step </w:t>
      </w:r>
      <w:r w:rsidR="008931D0" w:rsidRPr="008931D0">
        <w:rPr>
          <w:rStyle w:val="Heading2Char"/>
          <w:rFonts w:ascii="Open Sans" w:hAnsi="Open Sans" w:cs="Open Sans"/>
          <w:color w:val="auto"/>
          <w:sz w:val="22"/>
          <w:szCs w:val="22"/>
          <w:u w:val="none"/>
        </w:rPr>
        <w:t>faction</w:t>
      </w:r>
      <w:r w:rsidR="008931D0" w:rsidRPr="008931D0">
        <w:rPr>
          <w:rStyle w:val="Heading2Char"/>
          <w:rFonts w:ascii="Open Sans" w:hAnsi="Open Sans" w:cs="Open Sans"/>
          <w:color w:val="auto"/>
          <w:sz w:val="22"/>
          <w:szCs w:val="22"/>
          <w:u w:val="none"/>
        </w:rPr>
        <w:t xml:space="preserve"> and therefore</w:t>
      </w:r>
      <w:r w:rsidR="008931D0">
        <w:rPr>
          <w:rStyle w:val="Heading2Char"/>
          <w:rFonts w:ascii="Open Sans" w:hAnsi="Open Sans" w:cs="Open Sans"/>
          <w:color w:val="auto"/>
          <w:sz w:val="22"/>
          <w:szCs w:val="22"/>
          <w:u w:val="none"/>
        </w:rPr>
        <w:t>,</w:t>
      </w:r>
      <w:r w:rsidR="008931D0" w:rsidRPr="008931D0">
        <w:rPr>
          <w:rStyle w:val="Heading2Char"/>
          <w:rFonts w:ascii="Open Sans" w:hAnsi="Open Sans" w:cs="Open Sans"/>
          <w:color w:val="auto"/>
          <w:sz w:val="22"/>
          <w:szCs w:val="22"/>
          <w:u w:val="none"/>
        </w:rPr>
        <w:t xml:space="preserve"> the </w:t>
      </w:r>
      <w:r w:rsidR="00D56878">
        <w:rPr>
          <w:rStyle w:val="Heading2Char"/>
          <w:rFonts w:ascii="Open Sans" w:hAnsi="Open Sans" w:cs="Open Sans"/>
          <w:color w:val="auto"/>
          <w:sz w:val="22"/>
          <w:szCs w:val="22"/>
          <w:u w:val="none"/>
        </w:rPr>
        <w:t xml:space="preserve">maximum </w:t>
      </w:r>
      <w:r w:rsidR="008931D0" w:rsidRPr="008931D0">
        <w:rPr>
          <w:rStyle w:val="Heading2Char"/>
          <w:rFonts w:ascii="Open Sans" w:hAnsi="Open Sans" w:cs="Open Sans"/>
          <w:color w:val="auto"/>
          <w:sz w:val="22"/>
          <w:szCs w:val="22"/>
          <w:u w:val="none"/>
        </w:rPr>
        <w:t xml:space="preserve">system capacity </w:t>
      </w:r>
      <w:r w:rsidR="00D56878" w:rsidRPr="008931D0">
        <w:rPr>
          <w:rStyle w:val="Heading2Char"/>
          <w:rFonts w:ascii="Open Sans" w:hAnsi="Open Sans" w:cs="Open Sans"/>
          <w:color w:val="auto"/>
          <w:sz w:val="22"/>
          <w:szCs w:val="22"/>
          <w:u w:val="none"/>
        </w:rPr>
        <w:t xml:space="preserve">(100%) </w:t>
      </w:r>
      <w:r w:rsidR="008931D0" w:rsidRPr="008931D0">
        <w:rPr>
          <w:rStyle w:val="Heading2Char"/>
          <w:rFonts w:ascii="Open Sans" w:hAnsi="Open Sans" w:cs="Open Sans"/>
          <w:color w:val="auto"/>
          <w:sz w:val="22"/>
          <w:szCs w:val="22"/>
          <w:u w:val="none"/>
        </w:rPr>
        <w:t xml:space="preserve">should be a plateau </w:t>
      </w:r>
      <w:r w:rsidR="008931D0" w:rsidRPr="008931D0">
        <w:rPr>
          <w:rStyle w:val="Heading2Char"/>
          <w:rFonts w:ascii="Open Sans" w:hAnsi="Open Sans" w:cs="Open Sans"/>
          <w:color w:val="auto"/>
          <w:sz w:val="22"/>
          <w:szCs w:val="22"/>
          <w:u w:val="none"/>
        </w:rPr>
        <w:t>rather</w:t>
      </w:r>
      <w:r w:rsidR="008931D0" w:rsidRPr="008931D0">
        <w:rPr>
          <w:rStyle w:val="Heading2Char"/>
          <w:rFonts w:ascii="Open Sans" w:hAnsi="Open Sans" w:cs="Open Sans"/>
          <w:color w:val="auto"/>
          <w:sz w:val="22"/>
          <w:szCs w:val="22"/>
          <w:u w:val="none"/>
        </w:rPr>
        <w:t xml:space="preserve"> than a peak.</w:t>
      </w:r>
      <w:r w:rsidR="00D56878">
        <w:rPr>
          <w:rStyle w:val="Heading2Char"/>
          <w:rFonts w:ascii="Open Sans" w:hAnsi="Open Sans" w:cs="Open Sans"/>
          <w:color w:val="auto"/>
          <w:sz w:val="22"/>
          <w:szCs w:val="22"/>
          <w:u w:val="none"/>
        </w:rPr>
        <w:t xml:space="preserve"> The temperature range of the plateau was </w:t>
      </w:r>
      <w:r w:rsidR="009808E6">
        <w:rPr>
          <w:rStyle w:val="Heading2Char"/>
          <w:rFonts w:ascii="Open Sans" w:hAnsi="Open Sans" w:cs="Open Sans"/>
          <w:color w:val="auto"/>
          <w:sz w:val="22"/>
          <w:szCs w:val="22"/>
          <w:u w:val="none"/>
        </w:rPr>
        <w:t xml:space="preserve">chosen </w:t>
      </w:r>
      <w:r w:rsidR="00D56878">
        <w:rPr>
          <w:rStyle w:val="Heading2Char"/>
          <w:rFonts w:ascii="Open Sans" w:hAnsi="Open Sans" w:cs="Open Sans"/>
          <w:color w:val="auto"/>
          <w:sz w:val="22"/>
          <w:szCs w:val="22"/>
          <w:u w:val="none"/>
        </w:rPr>
        <w:t>as</w:t>
      </w:r>
      <w:r w:rsidR="00D56878" w:rsidRPr="008931D0">
        <w:rPr>
          <w:rStyle w:val="Heading2Char"/>
          <w:rFonts w:ascii="Open Sans" w:hAnsi="Open Sans" w:cs="Open Sans"/>
          <w:color w:val="auto"/>
          <w:sz w:val="22"/>
          <w:szCs w:val="22"/>
          <w:u w:val="none"/>
        </w:rPr>
        <w:t xml:space="preserve"> 14 </w:t>
      </w:r>
      <w:r w:rsidR="00D56878">
        <w:rPr>
          <w:rStyle w:val="Heading2Char"/>
          <w:rFonts w:ascii="Open Sans" w:hAnsi="Open Sans" w:cs="Open Sans"/>
          <w:color w:val="auto"/>
          <w:sz w:val="22"/>
          <w:szCs w:val="22"/>
          <w:u w:val="none"/>
        </w:rPr>
        <w:t>to</w:t>
      </w:r>
      <w:r w:rsidR="00D56878" w:rsidRPr="008931D0">
        <w:rPr>
          <w:rStyle w:val="Heading2Char"/>
          <w:rFonts w:ascii="Open Sans" w:hAnsi="Open Sans" w:cs="Open Sans"/>
          <w:color w:val="auto"/>
          <w:sz w:val="22"/>
          <w:szCs w:val="22"/>
          <w:u w:val="none"/>
        </w:rPr>
        <w:t xml:space="preserve"> 18°C</w:t>
      </w:r>
      <w:r w:rsidR="001827F3">
        <w:rPr>
          <w:rStyle w:val="Heading2Char"/>
          <w:rFonts w:ascii="Open Sans" w:hAnsi="Open Sans" w:cs="Open Sans"/>
          <w:color w:val="auto"/>
          <w:sz w:val="22"/>
          <w:szCs w:val="22"/>
          <w:u w:val="none"/>
        </w:rPr>
        <w:t xml:space="preserve"> </w:t>
      </w:r>
      <w:r w:rsidR="001827F3">
        <w:rPr>
          <w:rStyle w:val="Heading2Char"/>
          <w:rFonts w:ascii="Open Sans" w:hAnsi="Open Sans" w:cs="Open Sans"/>
          <w:color w:val="auto"/>
          <w:sz w:val="22"/>
          <w:szCs w:val="22"/>
          <w:u w:val="none"/>
        </w:rPr>
        <w:t>(</w:t>
      </w:r>
      <w:r w:rsidR="001827F3">
        <w:rPr>
          <w:rStyle w:val="Heading2Char"/>
          <w:rFonts w:ascii="Open Sans" w:hAnsi="Open Sans" w:cs="Open Sans"/>
          <w:color w:val="auto"/>
          <w:sz w:val="22"/>
          <w:szCs w:val="22"/>
          <w:u w:val="none"/>
        </w:rPr>
        <w:t xml:space="preserve">Sierra Sullivan and </w:t>
      </w:r>
      <w:r w:rsidR="001827F3">
        <w:rPr>
          <w:rStyle w:val="Heading2Char"/>
          <w:rFonts w:ascii="Open Sans" w:hAnsi="Open Sans" w:cs="Open Sans"/>
          <w:color w:val="auto"/>
          <w:sz w:val="22"/>
          <w:szCs w:val="22"/>
          <w:u w:val="none"/>
        </w:rPr>
        <w:t>Mike Pearson, Pers. Comm., 2024</w:t>
      </w:r>
      <w:r w:rsidR="001827F3">
        <w:rPr>
          <w:rStyle w:val="Heading2Char"/>
          <w:rFonts w:ascii="Open Sans" w:hAnsi="Open Sans" w:cs="Open Sans"/>
          <w:color w:val="auto"/>
          <w:sz w:val="22"/>
          <w:szCs w:val="22"/>
          <w:u w:val="none"/>
        </w:rPr>
        <w:t>)</w:t>
      </w:r>
      <w:r w:rsidR="00D56878">
        <w:rPr>
          <w:rStyle w:val="Heading2Char"/>
          <w:rFonts w:ascii="Open Sans" w:hAnsi="Open Sans" w:cs="Open Sans"/>
          <w:color w:val="auto"/>
          <w:sz w:val="22"/>
          <w:szCs w:val="22"/>
          <w:u w:val="none"/>
        </w:rPr>
        <w:t>.</w:t>
      </w:r>
    </w:p>
    <w:p w14:paraId="5196D71C" w14:textId="77777777" w:rsidR="005801B1" w:rsidRDefault="005801B1" w:rsidP="00A8467C">
      <w:pPr>
        <w:pStyle w:val="Heading2"/>
        <w:rPr>
          <w:rStyle w:val="Heading2Char"/>
          <w:sz w:val="28"/>
          <w:szCs w:val="28"/>
        </w:rPr>
      </w:pPr>
    </w:p>
    <w:p w14:paraId="0DA7DFC3" w14:textId="13A3167B" w:rsidR="00AA1613" w:rsidRPr="00AA1613" w:rsidRDefault="00AA1613" w:rsidP="00AA1613">
      <w:r>
        <w:rPr>
          <w:noProof/>
        </w:rPr>
        <w:lastRenderedPageBreak/>
        <w:drawing>
          <wp:inline distT="0" distB="0" distL="0" distR="0" wp14:anchorId="61E7A222" wp14:editId="6E497038">
            <wp:extent cx="2807391" cy="2615068"/>
            <wp:effectExtent l="0" t="0" r="0" b="0"/>
            <wp:docPr id="1123496939" name="Picture 3" descr="A graph of a temper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496939" name="Picture 3" descr="A graph of a temperature&#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13382" cy="2620648"/>
                    </a:xfrm>
                    <a:prstGeom prst="rect">
                      <a:avLst/>
                    </a:prstGeom>
                    <a:noFill/>
                    <a:ln>
                      <a:noFill/>
                    </a:ln>
                  </pic:spPr>
                </pic:pic>
              </a:graphicData>
            </a:graphic>
          </wp:inline>
        </w:drawing>
      </w:r>
    </w:p>
    <w:p w14:paraId="4458DBB9" w14:textId="6C575439" w:rsidR="00AA1613" w:rsidRPr="00CC1205" w:rsidRDefault="00AA1613" w:rsidP="0001769F">
      <w:pPr>
        <w:pStyle w:val="Heading2"/>
        <w:rPr>
          <w:rFonts w:ascii="Open Sans" w:hAnsi="Open Sans" w:cs="Open Sans"/>
          <w:color w:val="44546A" w:themeColor="text2"/>
          <w:sz w:val="22"/>
          <w:szCs w:val="22"/>
          <w:u w:val="none"/>
        </w:rPr>
      </w:pPr>
      <w:r w:rsidRPr="00CC1205">
        <w:rPr>
          <w:rFonts w:ascii="Open Sans" w:hAnsi="Open Sans" w:cs="Open Sans"/>
          <w:b/>
          <w:bCs/>
          <w:color w:val="44546A" w:themeColor="text2"/>
          <w:sz w:val="22"/>
          <w:szCs w:val="22"/>
          <w:u w:val="none"/>
        </w:rPr>
        <w:t xml:space="preserve">Figure 1: </w:t>
      </w:r>
      <w:r w:rsidR="006007E6" w:rsidRPr="00CC1205">
        <w:rPr>
          <w:rFonts w:ascii="Open Sans" w:hAnsi="Open Sans" w:cs="Open Sans"/>
          <w:color w:val="44546A" w:themeColor="text2"/>
          <w:sz w:val="22"/>
          <w:szCs w:val="22"/>
          <w:u w:val="none"/>
        </w:rPr>
        <w:t>Output plot of the Generalized Additive Model</w:t>
      </w:r>
      <w:r w:rsidRPr="00CC1205">
        <w:rPr>
          <w:rFonts w:ascii="Open Sans" w:hAnsi="Open Sans" w:cs="Open Sans"/>
          <w:color w:val="44546A" w:themeColor="text2"/>
          <w:sz w:val="22"/>
          <w:szCs w:val="22"/>
          <w:u w:val="none"/>
        </w:rPr>
        <w:t xml:space="preserve"> </w:t>
      </w:r>
      <w:r w:rsidR="006007E6" w:rsidRPr="00CC1205">
        <w:rPr>
          <w:rFonts w:ascii="Open Sans" w:hAnsi="Open Sans" w:cs="Open Sans"/>
          <w:color w:val="44546A" w:themeColor="text2"/>
          <w:sz w:val="22"/>
          <w:szCs w:val="22"/>
          <w:u w:val="none"/>
        </w:rPr>
        <w:t xml:space="preserve">for the </w:t>
      </w:r>
      <w:r w:rsidRPr="00CC1205">
        <w:rPr>
          <w:rFonts w:ascii="Open Sans" w:hAnsi="Open Sans" w:cs="Open Sans"/>
          <w:color w:val="44546A" w:themeColor="text2"/>
          <w:sz w:val="22"/>
          <w:szCs w:val="22"/>
          <w:u w:val="none"/>
        </w:rPr>
        <w:t>relationship between mean water temperature (in degrees Celsius) and Salish Sucker CPUE</w:t>
      </w:r>
      <w:r w:rsidR="0001769F" w:rsidRPr="00CC1205">
        <w:rPr>
          <w:rFonts w:ascii="Open Sans" w:hAnsi="Open Sans" w:cs="Open Sans"/>
          <w:color w:val="44546A" w:themeColor="text2"/>
          <w:sz w:val="22"/>
          <w:szCs w:val="22"/>
          <w:u w:val="none"/>
        </w:rPr>
        <w:t>. Solid line denotes the fitted trend (smooth function) and shaded region represents the pointwise 95% confidence intervals.</w:t>
      </w:r>
      <w:r w:rsidRPr="00CC1205">
        <w:rPr>
          <w:rFonts w:ascii="Open Sans" w:hAnsi="Open Sans" w:cs="Open Sans"/>
          <w:color w:val="44546A" w:themeColor="text2"/>
          <w:sz w:val="22"/>
          <w:szCs w:val="22"/>
          <w:u w:val="none"/>
        </w:rPr>
        <w:t xml:space="preserve"> </w:t>
      </w:r>
    </w:p>
    <w:p w14:paraId="6D4706F7" w14:textId="5B139417" w:rsidR="007328B6" w:rsidRDefault="007328B6" w:rsidP="007328B6">
      <w:r>
        <w:rPr>
          <w:noProof/>
        </w:rPr>
        <w:drawing>
          <wp:inline distT="0" distB="0" distL="0" distR="0" wp14:anchorId="32DBB6BB" wp14:editId="31FE0378">
            <wp:extent cx="3190875" cy="2708782"/>
            <wp:effectExtent l="0" t="0" r="0" b="0"/>
            <wp:docPr id="8" name="Picture 7">
              <a:extLst xmlns:a="http://schemas.openxmlformats.org/drawingml/2006/main">
                <a:ext uri="{FF2B5EF4-FFF2-40B4-BE49-F238E27FC236}">
                  <a16:creationId xmlns:a16="http://schemas.microsoft.com/office/drawing/2014/main" id="{4E693AA0-2397-4099-BFE1-E4914F156F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4E693AA0-2397-4099-BFE1-E4914F156FE8}"/>
                        </a:ext>
                      </a:extLst>
                    </pic:cNvPr>
                    <pic:cNvPicPr>
                      <a:picLocks noChangeAspect="1" noChangeArrowheads="1"/>
                    </pic:cNvPicPr>
                  </pic:nvPicPr>
                  <pic:blipFill rotWithShape="1">
                    <a:blip r:embed="rId10">
                      <a:extLst>
                        <a:ext uri="{28A0092B-C50C-407E-A947-70E740481C1C}">
                          <a14:useLocalDpi xmlns:a14="http://schemas.microsoft.com/office/drawing/2010/main" val="0"/>
                        </a:ext>
                      </a:extLst>
                    </a:blip>
                    <a:srcRect b="67166"/>
                    <a:stretch/>
                  </pic:blipFill>
                  <pic:spPr bwMode="auto">
                    <a:xfrm>
                      <a:off x="0" y="0"/>
                      <a:ext cx="3190875" cy="2708782"/>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19250C87" w14:textId="2A1E3587" w:rsidR="007328B6" w:rsidRPr="00CC1205" w:rsidRDefault="007328B6" w:rsidP="00CC1205">
      <w:pPr>
        <w:rPr>
          <w:color w:val="44546A" w:themeColor="text2"/>
        </w:rPr>
      </w:pPr>
      <w:r w:rsidRPr="00CC1205">
        <w:rPr>
          <w:rFonts w:ascii="Open Sans" w:hAnsi="Open Sans" w:cs="Open Sans"/>
          <w:b/>
          <w:bCs/>
          <w:color w:val="44546A" w:themeColor="text2"/>
        </w:rPr>
        <w:t xml:space="preserve">Figure 2: </w:t>
      </w:r>
      <w:r w:rsidRPr="00CC1205">
        <w:rPr>
          <w:rFonts w:ascii="Open Sans" w:hAnsi="Open Sans" w:cs="Open Sans"/>
          <w:color w:val="44546A" w:themeColor="text2"/>
        </w:rPr>
        <w:t>Plot from Rosenfeld et al. showing sucker CPUE vs. temperature in 5 discrete classes, demonstrating much tighter confidence intervals at high and low temperatures than indicated buy the Generalized Additive Model in Figure 1.</w:t>
      </w:r>
    </w:p>
    <w:p w14:paraId="2F454162" w14:textId="77777777" w:rsidR="00AA1613" w:rsidRPr="00AA1613" w:rsidRDefault="00AA1613" w:rsidP="00AA1613"/>
    <w:p w14:paraId="228C7F28" w14:textId="0DEC7BDF" w:rsidR="009809ED" w:rsidRPr="005949EB" w:rsidRDefault="00AF2A03" w:rsidP="00A8467C">
      <w:pPr>
        <w:pStyle w:val="Heading2"/>
        <w:rPr>
          <w:rStyle w:val="Heading2Char"/>
          <w:sz w:val="28"/>
          <w:szCs w:val="28"/>
        </w:rPr>
      </w:pPr>
      <w:r w:rsidRPr="005949EB">
        <w:rPr>
          <w:rStyle w:val="Heading2Char"/>
          <w:sz w:val="28"/>
          <w:szCs w:val="28"/>
        </w:rPr>
        <w:t>Source of stressor data to apply the function:</w:t>
      </w:r>
      <w:bookmarkEnd w:id="0"/>
    </w:p>
    <w:p w14:paraId="27D07C31" w14:textId="77777777" w:rsidR="00896B24" w:rsidRDefault="00896B24" w:rsidP="00080D29">
      <w:pPr>
        <w:pStyle w:val="Heading1"/>
        <w:keepNext w:val="0"/>
        <w:keepLines w:val="0"/>
        <w:widowControl w:val="0"/>
        <w:spacing w:before="0" w:line="240" w:lineRule="auto"/>
        <w:rPr>
          <w:rFonts w:ascii="Open Sans SemiBold" w:hAnsi="Open Sans SemiBold" w:cs="Open Sans SemiBold"/>
          <w:color w:val="004848"/>
        </w:rPr>
      </w:pPr>
    </w:p>
    <w:p w14:paraId="106592BE" w14:textId="3C53F204" w:rsidR="00463142" w:rsidRPr="00CC1205" w:rsidRDefault="00463142" w:rsidP="00CC1205">
      <w:r>
        <w:rPr>
          <w:rStyle w:val="Heading2Char"/>
          <w:rFonts w:ascii="Open Sans" w:hAnsi="Open Sans" w:cs="Open Sans"/>
          <w:color w:val="auto"/>
          <w:sz w:val="22"/>
          <w:szCs w:val="22"/>
          <w:u w:val="none"/>
        </w:rPr>
        <w:lastRenderedPageBreak/>
        <w:t xml:space="preserve">This is largely to be determined, but it will likely be a combination of data from Rosenfeld et al. (2021), data collected by Samantha </w:t>
      </w:r>
      <w:r w:rsidR="00256DEF">
        <w:rPr>
          <w:rStyle w:val="Heading2Char"/>
          <w:rFonts w:ascii="Open Sans" w:hAnsi="Open Sans" w:cs="Open Sans"/>
          <w:color w:val="auto"/>
          <w:sz w:val="22"/>
          <w:szCs w:val="22"/>
          <w:u w:val="none"/>
        </w:rPr>
        <w:fldChar w:fldCharType="begin" w:fldLock="1"/>
      </w:r>
      <w:r w:rsidR="00256DEF">
        <w:rPr>
          <w:rStyle w:val="Heading2Char"/>
          <w:rFonts w:ascii="Open Sans" w:hAnsi="Open Sans" w:cs="Open Sans"/>
          <w:color w:val="auto"/>
          <w:sz w:val="22"/>
          <w:szCs w:val="22"/>
          <w:u w:val="none"/>
        </w:rPr>
        <w:instrText>ADDIN CSL_CITATION {"citationItems":[{"id":"ITEM-1","itemData":{"author":[{"dropping-particle":"","family":"Ramirez","given":"S. Z.","non-dropping-particle":"","parse-names":false,"suffix":""}],"id":"ITEM-1","issued":{"date-parts":[["2024"]]},"publisher":"University of British Columbia","title":"Modelling the impact of human development and water quality on hypoxia","type":"thesis"},"uris":["http://www.mendeley.com/documents/?uuid=596badfd-cd5e-432f-9e21-9b0d1e2ac82e"]}],"mendeley":{"formattedCitation":"(Ramirez 2024)","manualFormatting":"Ramirez (2024)","plainTextFormattedCitation":"(Ramirez 2024)","previouslyFormattedCitation":"(Ramirez 2024)"},"properties":{"noteIndex":0},"schema":"https://github.com/citation-style-language/schema/raw/master/csl-citation.json"}</w:instrText>
      </w:r>
      <w:r w:rsidR="00256DEF">
        <w:rPr>
          <w:rStyle w:val="Heading2Char"/>
          <w:rFonts w:ascii="Open Sans" w:hAnsi="Open Sans" w:cs="Open Sans"/>
          <w:color w:val="auto"/>
          <w:sz w:val="22"/>
          <w:szCs w:val="22"/>
          <w:u w:val="none"/>
        </w:rPr>
        <w:fldChar w:fldCharType="separate"/>
      </w:r>
      <w:r w:rsidR="00256DEF" w:rsidRPr="00256DEF">
        <w:rPr>
          <w:rStyle w:val="Heading2Char"/>
          <w:rFonts w:ascii="Open Sans" w:hAnsi="Open Sans" w:cs="Open Sans"/>
          <w:noProof/>
          <w:color w:val="auto"/>
          <w:sz w:val="22"/>
          <w:szCs w:val="22"/>
          <w:u w:val="none"/>
        </w:rPr>
        <w:t xml:space="preserve">Ramirez </w:t>
      </w:r>
      <w:r w:rsidR="00256DEF">
        <w:rPr>
          <w:rStyle w:val="Heading2Char"/>
          <w:rFonts w:ascii="Open Sans" w:hAnsi="Open Sans" w:cs="Open Sans"/>
          <w:noProof/>
          <w:color w:val="auto"/>
          <w:sz w:val="22"/>
          <w:szCs w:val="22"/>
          <w:u w:val="none"/>
        </w:rPr>
        <w:t>(</w:t>
      </w:r>
      <w:r w:rsidR="00256DEF" w:rsidRPr="00256DEF">
        <w:rPr>
          <w:rStyle w:val="Heading2Char"/>
          <w:rFonts w:ascii="Open Sans" w:hAnsi="Open Sans" w:cs="Open Sans"/>
          <w:noProof/>
          <w:color w:val="auto"/>
          <w:sz w:val="22"/>
          <w:szCs w:val="22"/>
          <w:u w:val="none"/>
        </w:rPr>
        <w:t>2024)</w:t>
      </w:r>
      <w:r w:rsidR="00256DEF">
        <w:rPr>
          <w:rStyle w:val="Heading2Char"/>
          <w:rFonts w:ascii="Open Sans" w:hAnsi="Open Sans" w:cs="Open Sans"/>
          <w:color w:val="auto"/>
          <w:sz w:val="22"/>
          <w:szCs w:val="22"/>
          <w:u w:val="none"/>
        </w:rPr>
        <w:fldChar w:fldCharType="end"/>
      </w:r>
      <w:r w:rsidR="00256DEF">
        <w:rPr>
          <w:rStyle w:val="Heading2Char"/>
          <w:rFonts w:ascii="Open Sans" w:hAnsi="Open Sans" w:cs="Open Sans"/>
          <w:color w:val="auto"/>
          <w:sz w:val="22"/>
          <w:szCs w:val="22"/>
          <w:u w:val="none"/>
        </w:rPr>
        <w:t xml:space="preserve"> </w:t>
      </w:r>
      <w:r>
        <w:rPr>
          <w:rStyle w:val="Heading2Char"/>
          <w:rFonts w:ascii="Open Sans" w:hAnsi="Open Sans" w:cs="Open Sans"/>
          <w:color w:val="auto"/>
          <w:sz w:val="22"/>
          <w:szCs w:val="22"/>
          <w:u w:val="none"/>
        </w:rPr>
        <w:t xml:space="preserve">as part of her M.Sc. thesis, and a database of current and future projections produced by Dr. Iacarella with DFO and collaborators (currently unpublished, but see </w:t>
      </w:r>
      <w:r w:rsidR="00256DEF">
        <w:rPr>
          <w:rStyle w:val="Heading2Char"/>
          <w:rFonts w:ascii="Open Sans" w:hAnsi="Open Sans" w:cs="Open Sans"/>
          <w:color w:val="auto"/>
          <w:sz w:val="22"/>
          <w:szCs w:val="22"/>
          <w:u w:val="none"/>
        </w:rPr>
        <w:t xml:space="preserve"> </w:t>
      </w:r>
      <w:r w:rsidR="00256DEF">
        <w:rPr>
          <w:rStyle w:val="Heading2Char"/>
          <w:rFonts w:ascii="Open Sans" w:hAnsi="Open Sans" w:cs="Open Sans"/>
          <w:color w:val="auto"/>
          <w:sz w:val="22"/>
          <w:szCs w:val="22"/>
          <w:u w:val="none"/>
        </w:rPr>
        <w:fldChar w:fldCharType="begin" w:fldLock="1"/>
      </w:r>
      <w:r w:rsidR="00256DEF">
        <w:rPr>
          <w:rStyle w:val="Heading2Char"/>
          <w:rFonts w:ascii="Open Sans" w:hAnsi="Open Sans" w:cs="Open Sans"/>
          <w:color w:val="auto"/>
          <w:sz w:val="22"/>
          <w:szCs w:val="22"/>
          <w:u w:val="none"/>
        </w:rPr>
        <w:instrText>ADDIN CSL_CITATION {"citationItems":[{"id":"ITEM-1","itemData":{"DOI":"10.1080/07011784.2023.2267028","author":[{"dropping-particle":"","family":"Weller","given":"J Daniel","non-dropping-particle":"","parse-names":false,"suffix":""},{"dropping-particle":"","family":"Moore","given":"R D Dan","non-dropping-particle":"","parse-names":false,"suffix":""},{"dropping-particle":"","family":"Iacarella","given":"Josephine C","non-dropping-particle":"","parse-names":false,"suffix":""},{"dropping-particle":"","family":"Weller","given":"J Daniel","non-dropping-particle":"","parse-names":false,"suffix":""},{"dropping-particle":"","family":"Moore","given":"R D Dan","non-dropping-particle":"","parse-names":false,"suffix":""},{"dropping-particle":"","family":"Nov","given":"Josephine C Iacarella","non-dropping-particle":"","parse-names":false,"suffix":""},{"dropping-particle":"","family":"Weller","given":"J Daniel","non-dropping-particle":"","parse-names":false,"suffix":""}],"container-title":"Canadian Water Resources Journal / Revue canadienne des ressources hydriques","id":"ITEM-1","issued":{"date-parts":[["2023"]]},"publisher":"Taylor &amp; Francis","title":"Thermalscape scenarios for British Columbia , Canada","type":"article-journal"},"uris":["http://www.mendeley.com/documents/?uuid=4971a35d-bb1d-4f87-a4a7-7f25a32866bb"]}],"mendeley":{"formattedCitation":"(Weller et al. 2023)","manualFormatting":"(Weller et al. (2023)","plainTextFormattedCitation":"(Weller et al. 2023)"},"properties":{"noteIndex":0},"schema":"https://github.com/citation-style-language/schema/raw/master/csl-citation.json"}</w:instrText>
      </w:r>
      <w:r w:rsidR="00256DEF">
        <w:rPr>
          <w:rStyle w:val="Heading2Char"/>
          <w:rFonts w:ascii="Open Sans" w:hAnsi="Open Sans" w:cs="Open Sans"/>
          <w:color w:val="auto"/>
          <w:sz w:val="22"/>
          <w:szCs w:val="22"/>
          <w:u w:val="none"/>
        </w:rPr>
        <w:fldChar w:fldCharType="separate"/>
      </w:r>
      <w:r w:rsidR="00256DEF" w:rsidRPr="00256DEF">
        <w:rPr>
          <w:rStyle w:val="Heading2Char"/>
          <w:rFonts w:ascii="Open Sans" w:hAnsi="Open Sans" w:cs="Open Sans"/>
          <w:noProof/>
          <w:color w:val="auto"/>
          <w:sz w:val="22"/>
          <w:szCs w:val="22"/>
          <w:u w:val="none"/>
        </w:rPr>
        <w:t xml:space="preserve">(Weller et al. </w:t>
      </w:r>
      <w:r w:rsidR="00256DEF">
        <w:rPr>
          <w:rStyle w:val="Heading2Char"/>
          <w:rFonts w:ascii="Open Sans" w:hAnsi="Open Sans" w:cs="Open Sans"/>
          <w:noProof/>
          <w:color w:val="auto"/>
          <w:sz w:val="22"/>
          <w:szCs w:val="22"/>
          <w:u w:val="none"/>
        </w:rPr>
        <w:t>(</w:t>
      </w:r>
      <w:r w:rsidR="00256DEF" w:rsidRPr="00256DEF">
        <w:rPr>
          <w:rStyle w:val="Heading2Char"/>
          <w:rFonts w:ascii="Open Sans" w:hAnsi="Open Sans" w:cs="Open Sans"/>
          <w:noProof/>
          <w:color w:val="auto"/>
          <w:sz w:val="22"/>
          <w:szCs w:val="22"/>
          <w:u w:val="none"/>
        </w:rPr>
        <w:t>2023)</w:t>
      </w:r>
      <w:r w:rsidR="00256DEF">
        <w:rPr>
          <w:rStyle w:val="Heading2Char"/>
          <w:rFonts w:ascii="Open Sans" w:hAnsi="Open Sans" w:cs="Open Sans"/>
          <w:color w:val="auto"/>
          <w:sz w:val="22"/>
          <w:szCs w:val="22"/>
          <w:u w:val="none"/>
        </w:rPr>
        <w:fldChar w:fldCharType="end"/>
      </w:r>
      <w:r w:rsidR="00256DEF">
        <w:rPr>
          <w:rStyle w:val="Heading2Char"/>
          <w:rFonts w:ascii="Open Sans" w:hAnsi="Open Sans" w:cs="Open Sans"/>
          <w:color w:val="auto"/>
          <w:sz w:val="22"/>
          <w:szCs w:val="22"/>
          <w:u w:val="none"/>
        </w:rPr>
        <w:t>.</w:t>
      </w:r>
      <w:r>
        <w:rPr>
          <w:rStyle w:val="Heading2Char"/>
          <w:rFonts w:ascii="Open Sans" w:hAnsi="Open Sans" w:cs="Open Sans"/>
          <w:color w:val="auto"/>
          <w:sz w:val="22"/>
          <w:szCs w:val="22"/>
          <w:u w:val="none"/>
        </w:rPr>
        <w:t xml:space="preserve"> </w:t>
      </w:r>
    </w:p>
    <w:p w14:paraId="481DBCF0" w14:textId="77777777" w:rsidR="00F83D5A" w:rsidRDefault="00F83D5A" w:rsidP="00080D29">
      <w:pPr>
        <w:pStyle w:val="Heading1"/>
        <w:keepNext w:val="0"/>
        <w:keepLines w:val="0"/>
        <w:widowControl w:val="0"/>
        <w:spacing w:before="0" w:line="240" w:lineRule="auto"/>
        <w:rPr>
          <w:rFonts w:ascii="Open Sans SemiBold" w:hAnsi="Open Sans SemiBold" w:cs="Open Sans SemiBold"/>
          <w:color w:val="004848"/>
        </w:rPr>
      </w:pPr>
    </w:p>
    <w:p w14:paraId="11D1E8C5" w14:textId="77777777" w:rsidR="00F83D5A" w:rsidRDefault="00F83D5A" w:rsidP="00080D29">
      <w:pPr>
        <w:pStyle w:val="Heading1"/>
        <w:keepNext w:val="0"/>
        <w:keepLines w:val="0"/>
        <w:widowControl w:val="0"/>
        <w:spacing w:before="0" w:line="240" w:lineRule="auto"/>
        <w:rPr>
          <w:rFonts w:ascii="Open Sans SemiBold" w:hAnsi="Open Sans SemiBold" w:cs="Open Sans SemiBold"/>
          <w:color w:val="004848"/>
        </w:rPr>
      </w:pPr>
    </w:p>
    <w:p w14:paraId="4D8A824E" w14:textId="77777777" w:rsidR="00F83D5A" w:rsidRDefault="00F83D5A" w:rsidP="00080D29">
      <w:pPr>
        <w:pStyle w:val="Heading1"/>
        <w:keepNext w:val="0"/>
        <w:keepLines w:val="0"/>
        <w:widowControl w:val="0"/>
        <w:spacing w:before="0" w:line="240" w:lineRule="auto"/>
        <w:rPr>
          <w:rFonts w:ascii="Open Sans SemiBold" w:hAnsi="Open Sans SemiBold" w:cs="Open Sans SemiBold"/>
          <w:color w:val="004848"/>
        </w:rPr>
      </w:pPr>
    </w:p>
    <w:p w14:paraId="37ACD59C" w14:textId="77777777" w:rsidR="00F83D5A" w:rsidRDefault="00F83D5A" w:rsidP="00080D29">
      <w:pPr>
        <w:pStyle w:val="Heading1"/>
        <w:keepNext w:val="0"/>
        <w:keepLines w:val="0"/>
        <w:widowControl w:val="0"/>
        <w:spacing w:before="0" w:line="240" w:lineRule="auto"/>
        <w:rPr>
          <w:rFonts w:ascii="Open Sans SemiBold" w:hAnsi="Open Sans SemiBold" w:cs="Open Sans SemiBold"/>
          <w:color w:val="004848"/>
        </w:rPr>
      </w:pPr>
    </w:p>
    <w:p w14:paraId="10899CE8" w14:textId="77777777" w:rsidR="00F83D5A" w:rsidRDefault="00F83D5A" w:rsidP="00080D29">
      <w:pPr>
        <w:pStyle w:val="Heading1"/>
        <w:keepNext w:val="0"/>
        <w:keepLines w:val="0"/>
        <w:widowControl w:val="0"/>
        <w:spacing w:before="0" w:line="240" w:lineRule="auto"/>
        <w:rPr>
          <w:rFonts w:ascii="Open Sans SemiBold" w:hAnsi="Open Sans SemiBold" w:cs="Open Sans SemiBold"/>
          <w:color w:val="004848"/>
        </w:rPr>
      </w:pPr>
    </w:p>
    <w:p w14:paraId="7FF61363" w14:textId="77777777" w:rsidR="00F83D5A" w:rsidRDefault="00F83D5A" w:rsidP="00080D29">
      <w:pPr>
        <w:pStyle w:val="Heading1"/>
        <w:keepNext w:val="0"/>
        <w:keepLines w:val="0"/>
        <w:widowControl w:val="0"/>
        <w:spacing w:before="0" w:line="240" w:lineRule="auto"/>
        <w:rPr>
          <w:rFonts w:ascii="Open Sans SemiBold" w:hAnsi="Open Sans SemiBold" w:cs="Open Sans SemiBold"/>
          <w:color w:val="004848"/>
        </w:rPr>
      </w:pPr>
    </w:p>
    <w:p w14:paraId="648F4AA1" w14:textId="77777777" w:rsidR="00F83D5A" w:rsidRDefault="00F83D5A" w:rsidP="00080D29">
      <w:pPr>
        <w:pStyle w:val="Heading1"/>
        <w:keepNext w:val="0"/>
        <w:keepLines w:val="0"/>
        <w:widowControl w:val="0"/>
        <w:spacing w:before="0" w:line="240" w:lineRule="auto"/>
        <w:rPr>
          <w:rFonts w:ascii="Open Sans SemiBold" w:hAnsi="Open Sans SemiBold" w:cs="Open Sans SemiBold"/>
          <w:color w:val="004848"/>
        </w:rPr>
      </w:pPr>
    </w:p>
    <w:p w14:paraId="6A8A9FE2" w14:textId="77777777" w:rsidR="00F83D5A" w:rsidRDefault="00F83D5A" w:rsidP="00080D29">
      <w:pPr>
        <w:pStyle w:val="Heading1"/>
        <w:keepNext w:val="0"/>
        <w:keepLines w:val="0"/>
        <w:widowControl w:val="0"/>
        <w:spacing w:before="0" w:line="240" w:lineRule="auto"/>
        <w:rPr>
          <w:rFonts w:ascii="Open Sans SemiBold" w:hAnsi="Open Sans SemiBold" w:cs="Open Sans SemiBold"/>
          <w:color w:val="004848"/>
        </w:rPr>
      </w:pPr>
    </w:p>
    <w:p w14:paraId="0A425914" w14:textId="77777777" w:rsidR="00F83D5A" w:rsidRDefault="00F83D5A" w:rsidP="00080D29">
      <w:pPr>
        <w:pStyle w:val="Heading1"/>
        <w:keepNext w:val="0"/>
        <w:keepLines w:val="0"/>
        <w:widowControl w:val="0"/>
        <w:spacing w:before="0" w:line="240" w:lineRule="auto"/>
        <w:rPr>
          <w:rFonts w:ascii="Open Sans SemiBold" w:hAnsi="Open Sans SemiBold" w:cs="Open Sans SemiBold"/>
          <w:color w:val="004848"/>
        </w:rPr>
      </w:pPr>
    </w:p>
    <w:p w14:paraId="6AE7621C" w14:textId="63247FA9" w:rsidR="001C2E8A" w:rsidRDefault="00FE22CD" w:rsidP="00080D29">
      <w:pPr>
        <w:pStyle w:val="Heading1"/>
        <w:keepNext w:val="0"/>
        <w:keepLines w:val="0"/>
        <w:widowControl w:val="0"/>
        <w:spacing w:before="0" w:line="240" w:lineRule="auto"/>
        <w:rPr>
          <w:rFonts w:ascii="Open Sans SemiBold" w:hAnsi="Open Sans SemiBold" w:cs="Open Sans SemiBold"/>
          <w:color w:val="004848"/>
        </w:rPr>
      </w:pPr>
      <w:r w:rsidRPr="005949EB">
        <w:rPr>
          <w:rFonts w:ascii="Open Sans SemiBold" w:hAnsi="Open Sans SemiBold" w:cs="Open Sans SemiBold"/>
          <w:color w:val="004848"/>
        </w:rPr>
        <w:t xml:space="preserve">Stressor-Response </w:t>
      </w:r>
      <w:r w:rsidR="006D6A89" w:rsidRPr="005949EB">
        <w:rPr>
          <w:rFonts w:ascii="Open Sans SemiBold" w:hAnsi="Open Sans SemiBold" w:cs="Open Sans SemiBold"/>
          <w:color w:val="004848"/>
        </w:rPr>
        <w:t>Function</w:t>
      </w:r>
    </w:p>
    <w:p w14:paraId="25A57253" w14:textId="5CCF90C7" w:rsidR="00E57BA3" w:rsidRPr="005949EB" w:rsidRDefault="005D4A9F" w:rsidP="00302B9D">
      <w:r>
        <w:rPr>
          <w:noProof/>
        </w:rPr>
        <w:drawing>
          <wp:inline distT="0" distB="0" distL="0" distR="0" wp14:anchorId="21F2195B" wp14:editId="5FC38396">
            <wp:extent cx="5198143" cy="2504573"/>
            <wp:effectExtent l="0" t="0" r="2540" b="10160"/>
            <wp:docPr id="356969053" name="Chart 1">
              <a:extLst xmlns:a="http://schemas.openxmlformats.org/drawingml/2006/main">
                <a:ext uri="{FF2B5EF4-FFF2-40B4-BE49-F238E27FC236}">
                  <a16:creationId xmlns:a16="http://schemas.microsoft.com/office/drawing/2014/main" id="{1BE1F6D8-4777-4E33-BE04-7EFA1D7566A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35EF9E5" w14:textId="575A1CAB" w:rsidR="00E45F7A" w:rsidRPr="007328B6" w:rsidRDefault="00FE22CD" w:rsidP="00AA73D6">
      <w:pPr>
        <w:pStyle w:val="Caption"/>
        <w:rPr>
          <w:rFonts w:ascii="Open Sans" w:hAnsi="Open Sans" w:cs="Open Sans"/>
          <w:i w:val="0"/>
          <w:iCs w:val="0"/>
          <w:sz w:val="22"/>
          <w:szCs w:val="22"/>
        </w:rPr>
      </w:pPr>
      <w:r w:rsidRPr="007328B6">
        <w:rPr>
          <w:rFonts w:ascii="Open Sans" w:hAnsi="Open Sans" w:cs="Open Sans"/>
          <w:b/>
          <w:bCs/>
          <w:i w:val="0"/>
          <w:iCs w:val="0"/>
          <w:sz w:val="22"/>
          <w:szCs w:val="22"/>
        </w:rPr>
        <w:t xml:space="preserve">Figure </w:t>
      </w:r>
      <w:r w:rsidR="007328B6" w:rsidRPr="007328B6">
        <w:rPr>
          <w:rFonts w:ascii="Open Sans" w:hAnsi="Open Sans" w:cs="Open Sans"/>
          <w:b/>
          <w:bCs/>
          <w:i w:val="0"/>
          <w:iCs w:val="0"/>
          <w:sz w:val="22"/>
          <w:szCs w:val="22"/>
        </w:rPr>
        <w:t>3</w:t>
      </w:r>
      <w:r w:rsidRPr="007328B6">
        <w:rPr>
          <w:rFonts w:ascii="Open Sans" w:hAnsi="Open Sans" w:cs="Open Sans"/>
          <w:b/>
          <w:bCs/>
          <w:i w:val="0"/>
          <w:iCs w:val="0"/>
          <w:sz w:val="22"/>
          <w:szCs w:val="22"/>
        </w:rPr>
        <w:t xml:space="preserve">: </w:t>
      </w:r>
      <w:r w:rsidR="009F394D" w:rsidRPr="007328B6">
        <w:rPr>
          <w:rFonts w:ascii="Open Sans" w:hAnsi="Open Sans" w:cs="Open Sans"/>
          <w:i w:val="0"/>
          <w:iCs w:val="0"/>
          <w:sz w:val="22"/>
          <w:szCs w:val="22"/>
        </w:rPr>
        <w:t xml:space="preserve">Stressor-response curve depicting the expected relationship between water temperature (in degrees Celsius) and the system capacity of </w:t>
      </w:r>
      <w:r w:rsidR="00067340" w:rsidRPr="007328B6">
        <w:rPr>
          <w:rFonts w:ascii="Open Sans" w:hAnsi="Open Sans" w:cs="Open Sans"/>
          <w:i w:val="0"/>
          <w:iCs w:val="0"/>
          <w:sz w:val="22"/>
          <w:szCs w:val="22"/>
        </w:rPr>
        <w:t>Salish Sucker</w:t>
      </w:r>
      <w:r w:rsidR="00E45F7A" w:rsidRPr="007328B6">
        <w:rPr>
          <w:rFonts w:ascii="Open Sans" w:hAnsi="Open Sans" w:cs="Open Sans"/>
          <w:i w:val="0"/>
          <w:iCs w:val="0"/>
          <w:sz w:val="22"/>
          <w:szCs w:val="22"/>
        </w:rPr>
        <w:t xml:space="preserve">. </w:t>
      </w:r>
    </w:p>
    <w:p w14:paraId="2FEFCCA8" w14:textId="56D1A2CA" w:rsidR="00FE22CD" w:rsidRPr="005949EB" w:rsidRDefault="00FE22CD" w:rsidP="0057170E">
      <w:pPr>
        <w:pStyle w:val="Caption"/>
        <w:ind w:left="720" w:hanging="720"/>
        <w:rPr>
          <w:rFonts w:ascii="Open Sans SemiBold" w:eastAsiaTheme="majorEastAsia" w:hAnsi="Open Sans SemiBold" w:cs="Open Sans SemiBold"/>
          <w:i w:val="0"/>
          <w:iCs w:val="0"/>
          <w:color w:val="004848"/>
          <w:sz w:val="32"/>
          <w:szCs w:val="32"/>
        </w:rPr>
      </w:pPr>
      <w:r w:rsidRPr="005949EB">
        <w:rPr>
          <w:rFonts w:ascii="Open Sans SemiBold" w:eastAsiaTheme="majorEastAsia" w:hAnsi="Open Sans SemiBold" w:cs="Open Sans SemiBold"/>
          <w:i w:val="0"/>
          <w:iCs w:val="0"/>
          <w:color w:val="004848"/>
          <w:sz w:val="32"/>
          <w:szCs w:val="32"/>
        </w:rPr>
        <w:t>Stressor-Response Table</w:t>
      </w:r>
    </w:p>
    <w:p w14:paraId="350DE223" w14:textId="44B2C430" w:rsidR="0037783F" w:rsidRDefault="0037783F" w:rsidP="0037783F">
      <w:pPr>
        <w:pStyle w:val="Caption"/>
        <w:ind w:left="720" w:hanging="720"/>
        <w:rPr>
          <w:rFonts w:ascii="Open Sans" w:hAnsi="Open Sans" w:cs="Open Sans"/>
          <w:i w:val="0"/>
          <w:iCs w:val="0"/>
          <w:sz w:val="22"/>
          <w:szCs w:val="22"/>
        </w:rPr>
      </w:pPr>
      <w:r w:rsidRPr="007F6576">
        <w:rPr>
          <w:rFonts w:ascii="Open Sans" w:hAnsi="Open Sans" w:cs="Open Sans"/>
          <w:b/>
          <w:bCs/>
          <w:i w:val="0"/>
          <w:iCs w:val="0"/>
          <w:sz w:val="22"/>
          <w:szCs w:val="22"/>
        </w:rPr>
        <w:t xml:space="preserve">Table </w:t>
      </w:r>
      <w:r w:rsidRPr="007F6576">
        <w:rPr>
          <w:rFonts w:ascii="Open Sans" w:hAnsi="Open Sans" w:cs="Open Sans"/>
          <w:b/>
          <w:bCs/>
          <w:i w:val="0"/>
          <w:iCs w:val="0"/>
          <w:sz w:val="22"/>
          <w:szCs w:val="22"/>
        </w:rPr>
        <w:fldChar w:fldCharType="begin"/>
      </w:r>
      <w:r w:rsidRPr="007F6576">
        <w:rPr>
          <w:rFonts w:ascii="Open Sans" w:hAnsi="Open Sans" w:cs="Open Sans"/>
          <w:b/>
          <w:bCs/>
          <w:i w:val="0"/>
          <w:iCs w:val="0"/>
          <w:sz w:val="22"/>
          <w:szCs w:val="22"/>
        </w:rPr>
        <w:instrText xml:space="preserve"> SEQ Table \* ARABIC </w:instrText>
      </w:r>
      <w:r w:rsidRPr="007F6576">
        <w:rPr>
          <w:rFonts w:ascii="Open Sans" w:hAnsi="Open Sans" w:cs="Open Sans"/>
          <w:b/>
          <w:bCs/>
          <w:i w:val="0"/>
          <w:iCs w:val="0"/>
          <w:sz w:val="22"/>
          <w:szCs w:val="22"/>
        </w:rPr>
        <w:fldChar w:fldCharType="separate"/>
      </w:r>
      <w:r w:rsidRPr="007F6576">
        <w:rPr>
          <w:rFonts w:ascii="Open Sans" w:hAnsi="Open Sans" w:cs="Open Sans"/>
          <w:b/>
          <w:bCs/>
          <w:i w:val="0"/>
          <w:iCs w:val="0"/>
          <w:noProof/>
          <w:sz w:val="22"/>
          <w:szCs w:val="22"/>
        </w:rPr>
        <w:t>1</w:t>
      </w:r>
      <w:r w:rsidRPr="007F6576">
        <w:rPr>
          <w:rFonts w:ascii="Open Sans" w:hAnsi="Open Sans" w:cs="Open Sans"/>
          <w:b/>
          <w:bCs/>
          <w:i w:val="0"/>
          <w:iCs w:val="0"/>
          <w:sz w:val="22"/>
          <w:szCs w:val="22"/>
        </w:rPr>
        <w:fldChar w:fldCharType="end"/>
      </w:r>
      <w:r w:rsidRPr="007F6576">
        <w:rPr>
          <w:rFonts w:ascii="Open Sans" w:hAnsi="Open Sans" w:cs="Open Sans"/>
          <w:b/>
          <w:bCs/>
          <w:i w:val="0"/>
          <w:iCs w:val="0"/>
          <w:sz w:val="22"/>
          <w:szCs w:val="22"/>
        </w:rPr>
        <w:t xml:space="preserve">: </w:t>
      </w:r>
      <w:r w:rsidRPr="007F6576">
        <w:rPr>
          <w:rFonts w:ascii="Open Sans" w:hAnsi="Open Sans" w:cs="Open Sans"/>
          <w:i w:val="0"/>
          <w:iCs w:val="0"/>
          <w:sz w:val="22"/>
          <w:szCs w:val="22"/>
        </w:rPr>
        <w:t xml:space="preserve">Stressor response relationship </w:t>
      </w:r>
      <w:r>
        <w:rPr>
          <w:rFonts w:ascii="Open Sans" w:hAnsi="Open Sans" w:cs="Open Sans"/>
          <w:i w:val="0"/>
          <w:iCs w:val="0"/>
          <w:sz w:val="22"/>
          <w:szCs w:val="22"/>
        </w:rPr>
        <w:t xml:space="preserve">reflecting </w:t>
      </w:r>
      <w:r w:rsidR="00214E69">
        <w:rPr>
          <w:rFonts w:ascii="Open Sans" w:hAnsi="Open Sans" w:cs="Open Sans"/>
          <w:i w:val="0"/>
          <w:iCs w:val="0"/>
          <w:sz w:val="22"/>
          <w:szCs w:val="22"/>
        </w:rPr>
        <w:t xml:space="preserve">the relationships between </w:t>
      </w:r>
      <w:r>
        <w:rPr>
          <w:rFonts w:ascii="Open Sans" w:hAnsi="Open Sans" w:cs="Open Sans"/>
          <w:i w:val="0"/>
          <w:iCs w:val="0"/>
          <w:sz w:val="22"/>
          <w:szCs w:val="22"/>
        </w:rPr>
        <w:t>water temperature</w:t>
      </w:r>
      <w:r w:rsidRPr="008B06AF">
        <w:rPr>
          <w:rFonts w:ascii="Open Sans" w:hAnsi="Open Sans" w:cs="Open Sans"/>
          <w:i w:val="0"/>
          <w:iCs w:val="0"/>
          <w:sz w:val="22"/>
          <w:szCs w:val="22"/>
        </w:rPr>
        <w:t xml:space="preserve"> and system capacity </w:t>
      </w:r>
      <w:r w:rsidR="00214E69">
        <w:rPr>
          <w:rFonts w:ascii="Open Sans" w:hAnsi="Open Sans" w:cs="Open Sans"/>
          <w:i w:val="0"/>
          <w:iCs w:val="0"/>
          <w:sz w:val="22"/>
          <w:szCs w:val="22"/>
        </w:rPr>
        <w:t>for</w:t>
      </w:r>
      <w:r w:rsidR="00214E69" w:rsidRPr="008B06AF">
        <w:rPr>
          <w:rFonts w:ascii="Open Sans" w:hAnsi="Open Sans" w:cs="Open Sans"/>
          <w:i w:val="0"/>
          <w:iCs w:val="0"/>
          <w:sz w:val="22"/>
          <w:szCs w:val="22"/>
        </w:rPr>
        <w:t xml:space="preserve"> </w:t>
      </w:r>
      <w:r w:rsidR="00067340">
        <w:rPr>
          <w:rFonts w:ascii="Open Sans" w:hAnsi="Open Sans" w:cs="Open Sans"/>
          <w:i w:val="0"/>
          <w:iCs w:val="0"/>
          <w:sz w:val="22"/>
          <w:szCs w:val="22"/>
        </w:rPr>
        <w:t>Salish Sucker</w:t>
      </w:r>
      <w:r>
        <w:rPr>
          <w:rFonts w:ascii="Open Sans" w:hAnsi="Open Sans" w:cs="Open Sans"/>
          <w:i w:val="0"/>
          <w:iCs w:val="0"/>
          <w:sz w:val="22"/>
          <w:szCs w:val="22"/>
        </w:rPr>
        <w:t xml:space="preserve"> </w:t>
      </w:r>
      <w:r w:rsidRPr="008B06AF">
        <w:rPr>
          <w:rFonts w:ascii="Open Sans" w:hAnsi="Open Sans" w:cs="Open Sans"/>
          <w:i w:val="0"/>
          <w:iCs w:val="0"/>
          <w:sz w:val="22"/>
          <w:szCs w:val="22"/>
        </w:rPr>
        <w:t>populations</w:t>
      </w:r>
      <w:r>
        <w:rPr>
          <w:rFonts w:ascii="Open Sans" w:hAnsi="Open Sans" w:cs="Open Sans"/>
          <w:i w:val="0"/>
          <w:iCs w:val="0"/>
          <w:sz w:val="22"/>
          <w:szCs w:val="22"/>
        </w:rPr>
        <w:t>.</w:t>
      </w:r>
    </w:p>
    <w:tbl>
      <w:tblPr>
        <w:tblW w:w="8635" w:type="dxa"/>
        <w:tblLook w:val="04A0" w:firstRow="1" w:lastRow="0" w:firstColumn="1" w:lastColumn="0" w:noHBand="0" w:noVBand="1"/>
      </w:tblPr>
      <w:tblGrid>
        <w:gridCol w:w="2160"/>
        <w:gridCol w:w="2970"/>
        <w:gridCol w:w="1255"/>
        <w:gridCol w:w="990"/>
        <w:gridCol w:w="1260"/>
      </w:tblGrid>
      <w:tr w:rsidR="00FE22CD" w:rsidRPr="005949EB" w14:paraId="53459223" w14:textId="77777777" w:rsidTr="00210A53">
        <w:trPr>
          <w:trHeight w:val="600"/>
        </w:trPr>
        <w:tc>
          <w:tcPr>
            <w:tcW w:w="2160" w:type="dxa"/>
            <w:tcBorders>
              <w:top w:val="nil"/>
              <w:left w:val="nil"/>
              <w:bottom w:val="single" w:sz="4" w:space="0" w:color="auto"/>
              <w:right w:val="nil"/>
            </w:tcBorders>
            <w:shd w:val="clear" w:color="000000" w:fill="D9D9D9"/>
            <w:vAlign w:val="bottom"/>
            <w:hideMark/>
          </w:tcPr>
          <w:p w14:paraId="7ADFF80C" w14:textId="34FA4EF6" w:rsidR="00FE22CD" w:rsidRPr="005949EB" w:rsidRDefault="0037783F" w:rsidP="00210A53">
            <w:pPr>
              <w:spacing w:after="0" w:line="240" w:lineRule="auto"/>
              <w:jc w:val="center"/>
              <w:rPr>
                <w:rFonts w:ascii="Open Sans" w:eastAsia="Times New Roman" w:hAnsi="Open Sans" w:cs="Open Sans"/>
                <w:b/>
                <w:bCs/>
                <w:color w:val="000000"/>
              </w:rPr>
            </w:pPr>
            <w:r w:rsidRPr="0037783F">
              <w:rPr>
                <w:rFonts w:ascii="Open Sans" w:eastAsia="Times New Roman" w:hAnsi="Open Sans" w:cs="Open Sans"/>
                <w:b/>
                <w:bCs/>
                <w:color w:val="000000"/>
              </w:rPr>
              <w:t xml:space="preserve">Temperature </w:t>
            </w:r>
            <w:r w:rsidR="00DF65ED" w:rsidRPr="005949EB">
              <w:rPr>
                <w:rFonts w:ascii="Open Sans" w:eastAsia="Times New Roman" w:hAnsi="Open Sans" w:cs="Open Sans"/>
                <w:b/>
                <w:bCs/>
                <w:color w:val="000000"/>
              </w:rPr>
              <w:t>(</w:t>
            </w:r>
            <w:r w:rsidR="00DF65ED" w:rsidRPr="005949EB">
              <w:rPr>
                <w:rFonts w:ascii="Open Sans" w:eastAsia="Times New Roman" w:hAnsi="Open Sans" w:cs="Open Sans"/>
                <w:b/>
                <w:bCs/>
                <w:color w:val="000000"/>
                <w:vertAlign w:val="superscript"/>
              </w:rPr>
              <w:t>o</w:t>
            </w:r>
            <w:r w:rsidR="00DF65ED" w:rsidRPr="005949EB">
              <w:rPr>
                <w:rFonts w:ascii="Open Sans" w:eastAsia="Times New Roman" w:hAnsi="Open Sans" w:cs="Open Sans"/>
                <w:b/>
                <w:bCs/>
                <w:color w:val="000000"/>
              </w:rPr>
              <w:t>C)</w:t>
            </w:r>
          </w:p>
        </w:tc>
        <w:tc>
          <w:tcPr>
            <w:tcW w:w="2970" w:type="dxa"/>
            <w:tcBorders>
              <w:top w:val="nil"/>
              <w:left w:val="nil"/>
              <w:bottom w:val="single" w:sz="4" w:space="0" w:color="auto"/>
              <w:right w:val="nil"/>
            </w:tcBorders>
            <w:shd w:val="clear" w:color="000000" w:fill="D9D9D9"/>
            <w:noWrap/>
            <w:vAlign w:val="bottom"/>
            <w:hideMark/>
          </w:tcPr>
          <w:p w14:paraId="7D3BD92B" w14:textId="6C61A260" w:rsidR="00FE22CD" w:rsidRPr="005949EB" w:rsidRDefault="00FE22CD" w:rsidP="00210A53">
            <w:pPr>
              <w:spacing w:after="0" w:line="240" w:lineRule="auto"/>
              <w:jc w:val="center"/>
              <w:rPr>
                <w:rFonts w:ascii="Open Sans" w:eastAsia="Times New Roman" w:hAnsi="Open Sans" w:cs="Open Sans"/>
                <w:b/>
                <w:bCs/>
                <w:color w:val="000000"/>
              </w:rPr>
            </w:pPr>
            <w:r w:rsidRPr="005949EB">
              <w:rPr>
                <w:rFonts w:ascii="Open Sans" w:eastAsia="Times New Roman" w:hAnsi="Open Sans" w:cs="Open Sans"/>
                <w:b/>
                <w:bCs/>
                <w:color w:val="000000"/>
              </w:rPr>
              <w:t>System Capacity (%)</w:t>
            </w:r>
          </w:p>
        </w:tc>
        <w:tc>
          <w:tcPr>
            <w:tcW w:w="1255" w:type="dxa"/>
            <w:tcBorders>
              <w:top w:val="nil"/>
              <w:left w:val="nil"/>
              <w:bottom w:val="single" w:sz="4" w:space="0" w:color="auto"/>
              <w:right w:val="nil"/>
            </w:tcBorders>
            <w:shd w:val="clear" w:color="000000" w:fill="D9D9D9"/>
            <w:vAlign w:val="bottom"/>
            <w:hideMark/>
          </w:tcPr>
          <w:p w14:paraId="7C074DB7" w14:textId="77777777" w:rsidR="00FE22CD" w:rsidRPr="005949EB" w:rsidRDefault="00FE22CD" w:rsidP="00210A53">
            <w:pPr>
              <w:spacing w:after="0" w:line="240" w:lineRule="auto"/>
              <w:jc w:val="center"/>
              <w:rPr>
                <w:rFonts w:ascii="Open Sans" w:eastAsia="Times New Roman" w:hAnsi="Open Sans" w:cs="Open Sans"/>
                <w:b/>
                <w:bCs/>
                <w:color w:val="000000"/>
              </w:rPr>
            </w:pPr>
            <w:r w:rsidRPr="005949EB">
              <w:rPr>
                <w:rFonts w:ascii="Open Sans" w:eastAsia="Times New Roman" w:hAnsi="Open Sans" w:cs="Open Sans"/>
                <w:b/>
                <w:bCs/>
                <w:color w:val="000000"/>
              </w:rPr>
              <w:t>SD</w:t>
            </w:r>
          </w:p>
        </w:tc>
        <w:tc>
          <w:tcPr>
            <w:tcW w:w="990" w:type="dxa"/>
            <w:tcBorders>
              <w:top w:val="nil"/>
              <w:left w:val="nil"/>
              <w:bottom w:val="single" w:sz="4" w:space="0" w:color="auto"/>
              <w:right w:val="nil"/>
            </w:tcBorders>
            <w:shd w:val="clear" w:color="000000" w:fill="D9D9D9"/>
            <w:vAlign w:val="bottom"/>
            <w:hideMark/>
          </w:tcPr>
          <w:p w14:paraId="3F3D5280" w14:textId="77777777" w:rsidR="00FE22CD" w:rsidRPr="005949EB" w:rsidRDefault="00FE22CD" w:rsidP="00210A53">
            <w:pPr>
              <w:spacing w:after="0" w:line="240" w:lineRule="auto"/>
              <w:jc w:val="center"/>
              <w:rPr>
                <w:rFonts w:ascii="Open Sans" w:eastAsia="Times New Roman" w:hAnsi="Open Sans" w:cs="Open Sans"/>
                <w:b/>
                <w:bCs/>
                <w:color w:val="000000"/>
              </w:rPr>
            </w:pPr>
            <w:r w:rsidRPr="005949EB">
              <w:rPr>
                <w:rFonts w:ascii="Open Sans" w:eastAsia="Times New Roman" w:hAnsi="Open Sans" w:cs="Open Sans"/>
                <w:b/>
                <w:bCs/>
                <w:color w:val="000000"/>
              </w:rPr>
              <w:t>Lower Limit</w:t>
            </w:r>
          </w:p>
        </w:tc>
        <w:tc>
          <w:tcPr>
            <w:tcW w:w="1260" w:type="dxa"/>
            <w:tcBorders>
              <w:top w:val="nil"/>
              <w:left w:val="nil"/>
              <w:bottom w:val="single" w:sz="4" w:space="0" w:color="auto"/>
              <w:right w:val="nil"/>
            </w:tcBorders>
            <w:shd w:val="clear" w:color="000000" w:fill="D9D9D9"/>
            <w:vAlign w:val="bottom"/>
            <w:hideMark/>
          </w:tcPr>
          <w:p w14:paraId="2E92DD6E" w14:textId="77777777" w:rsidR="00FE22CD" w:rsidRPr="005949EB" w:rsidRDefault="00FE22CD" w:rsidP="00210A53">
            <w:pPr>
              <w:spacing w:after="0" w:line="240" w:lineRule="auto"/>
              <w:jc w:val="center"/>
              <w:rPr>
                <w:rFonts w:ascii="Open Sans" w:eastAsia="Times New Roman" w:hAnsi="Open Sans" w:cs="Open Sans"/>
                <w:b/>
                <w:bCs/>
                <w:color w:val="000000"/>
              </w:rPr>
            </w:pPr>
            <w:r w:rsidRPr="005949EB">
              <w:rPr>
                <w:rFonts w:ascii="Open Sans" w:eastAsia="Times New Roman" w:hAnsi="Open Sans" w:cs="Open Sans"/>
                <w:b/>
                <w:bCs/>
                <w:color w:val="000000"/>
              </w:rPr>
              <w:t>Upper Limit</w:t>
            </w:r>
          </w:p>
        </w:tc>
      </w:tr>
      <w:tr w:rsidR="00A1786C" w:rsidRPr="005949EB" w14:paraId="7A744029" w14:textId="77777777" w:rsidTr="00CE79C6">
        <w:trPr>
          <w:trHeight w:val="300"/>
        </w:trPr>
        <w:tc>
          <w:tcPr>
            <w:tcW w:w="2160" w:type="dxa"/>
            <w:tcBorders>
              <w:top w:val="nil"/>
              <w:left w:val="nil"/>
              <w:bottom w:val="nil"/>
              <w:right w:val="nil"/>
            </w:tcBorders>
            <w:shd w:val="clear" w:color="auto" w:fill="auto"/>
            <w:noWrap/>
            <w:vAlign w:val="bottom"/>
          </w:tcPr>
          <w:p w14:paraId="2F042600" w14:textId="4CFBE92C" w:rsidR="00A1786C" w:rsidRPr="005949EB" w:rsidRDefault="00A1786C" w:rsidP="00A1786C">
            <w:pPr>
              <w:spacing w:after="0" w:line="240" w:lineRule="auto"/>
              <w:jc w:val="center"/>
              <w:rPr>
                <w:rFonts w:ascii="Open Sans" w:eastAsia="Times New Roman" w:hAnsi="Open Sans" w:cs="Open Sans"/>
                <w:color w:val="000000"/>
              </w:rPr>
            </w:pPr>
            <w:r>
              <w:rPr>
                <w:rFonts w:ascii="Calibri" w:hAnsi="Calibri" w:cs="Calibri"/>
                <w:color w:val="000000"/>
              </w:rPr>
              <w:lastRenderedPageBreak/>
              <w:t>0.00</w:t>
            </w:r>
          </w:p>
        </w:tc>
        <w:tc>
          <w:tcPr>
            <w:tcW w:w="2970" w:type="dxa"/>
            <w:tcBorders>
              <w:top w:val="nil"/>
              <w:left w:val="nil"/>
              <w:bottom w:val="nil"/>
              <w:right w:val="nil"/>
            </w:tcBorders>
            <w:shd w:val="clear" w:color="auto" w:fill="auto"/>
            <w:noWrap/>
            <w:vAlign w:val="bottom"/>
          </w:tcPr>
          <w:p w14:paraId="4D32AD4F" w14:textId="19E81646" w:rsidR="00A1786C" w:rsidRPr="005949EB" w:rsidRDefault="00A1786C" w:rsidP="00A1786C">
            <w:pPr>
              <w:spacing w:after="0" w:line="240" w:lineRule="auto"/>
              <w:jc w:val="center"/>
              <w:rPr>
                <w:rFonts w:ascii="Open Sans" w:eastAsia="Times New Roman" w:hAnsi="Open Sans" w:cs="Open Sans"/>
                <w:color w:val="000000"/>
              </w:rPr>
            </w:pPr>
            <w:r>
              <w:rPr>
                <w:rFonts w:ascii="Calibri" w:hAnsi="Calibri" w:cs="Calibri"/>
                <w:color w:val="000000"/>
              </w:rPr>
              <w:t>0.00</w:t>
            </w:r>
          </w:p>
        </w:tc>
        <w:tc>
          <w:tcPr>
            <w:tcW w:w="1255" w:type="dxa"/>
            <w:tcBorders>
              <w:top w:val="nil"/>
              <w:left w:val="nil"/>
              <w:bottom w:val="nil"/>
              <w:right w:val="nil"/>
            </w:tcBorders>
            <w:shd w:val="clear" w:color="auto" w:fill="auto"/>
            <w:noWrap/>
            <w:vAlign w:val="bottom"/>
          </w:tcPr>
          <w:p w14:paraId="2C2F8B57" w14:textId="67DEDAA1" w:rsidR="00A1786C" w:rsidRPr="005949EB" w:rsidRDefault="00A1786C" w:rsidP="00A1786C">
            <w:pPr>
              <w:spacing w:after="0" w:line="240" w:lineRule="auto"/>
              <w:jc w:val="right"/>
              <w:rPr>
                <w:rFonts w:ascii="Open Sans" w:eastAsia="Times New Roman" w:hAnsi="Open Sans" w:cs="Open Sans"/>
                <w:color w:val="000000"/>
              </w:rPr>
            </w:pPr>
            <w:r>
              <w:rPr>
                <w:rFonts w:ascii="Calibri" w:hAnsi="Calibri" w:cs="Calibri"/>
                <w:color w:val="000000"/>
              </w:rPr>
              <w:t>0.00</w:t>
            </w:r>
          </w:p>
        </w:tc>
        <w:tc>
          <w:tcPr>
            <w:tcW w:w="990" w:type="dxa"/>
            <w:tcBorders>
              <w:top w:val="nil"/>
              <w:left w:val="nil"/>
              <w:bottom w:val="nil"/>
              <w:right w:val="nil"/>
            </w:tcBorders>
            <w:shd w:val="clear" w:color="auto" w:fill="auto"/>
            <w:noWrap/>
            <w:vAlign w:val="bottom"/>
          </w:tcPr>
          <w:p w14:paraId="370141B4" w14:textId="355AA175" w:rsidR="00A1786C" w:rsidRPr="005949EB" w:rsidRDefault="00A1786C" w:rsidP="00A1786C">
            <w:pPr>
              <w:spacing w:after="0" w:line="240" w:lineRule="auto"/>
              <w:jc w:val="right"/>
              <w:rPr>
                <w:rFonts w:ascii="Open Sans" w:eastAsia="Times New Roman" w:hAnsi="Open Sans" w:cs="Open Sans"/>
                <w:color w:val="000000"/>
              </w:rPr>
            </w:pPr>
            <w:r>
              <w:rPr>
                <w:rFonts w:ascii="Calibri" w:hAnsi="Calibri" w:cs="Calibri"/>
                <w:color w:val="000000"/>
              </w:rPr>
              <w:t>0.00</w:t>
            </w:r>
          </w:p>
        </w:tc>
        <w:tc>
          <w:tcPr>
            <w:tcW w:w="1260" w:type="dxa"/>
            <w:tcBorders>
              <w:top w:val="nil"/>
              <w:left w:val="nil"/>
              <w:bottom w:val="nil"/>
              <w:right w:val="nil"/>
            </w:tcBorders>
            <w:shd w:val="clear" w:color="auto" w:fill="auto"/>
            <w:noWrap/>
            <w:vAlign w:val="bottom"/>
          </w:tcPr>
          <w:p w14:paraId="4642599A" w14:textId="6131219C" w:rsidR="00A1786C" w:rsidRPr="005949EB" w:rsidRDefault="00A1786C" w:rsidP="00A1786C">
            <w:pPr>
              <w:spacing w:after="0" w:line="240" w:lineRule="auto"/>
              <w:jc w:val="right"/>
              <w:rPr>
                <w:rFonts w:ascii="Open Sans" w:eastAsia="Times New Roman" w:hAnsi="Open Sans" w:cs="Open Sans"/>
                <w:color w:val="000000"/>
              </w:rPr>
            </w:pPr>
            <w:r>
              <w:rPr>
                <w:rFonts w:ascii="Calibri" w:hAnsi="Calibri" w:cs="Calibri"/>
                <w:color w:val="000000"/>
              </w:rPr>
              <w:t>0.00</w:t>
            </w:r>
          </w:p>
        </w:tc>
      </w:tr>
      <w:tr w:rsidR="00A1786C" w:rsidRPr="005949EB" w14:paraId="33EBFC5B" w14:textId="77777777" w:rsidTr="00CE79C6">
        <w:trPr>
          <w:trHeight w:val="300"/>
        </w:trPr>
        <w:tc>
          <w:tcPr>
            <w:tcW w:w="2160" w:type="dxa"/>
            <w:tcBorders>
              <w:top w:val="nil"/>
              <w:left w:val="nil"/>
              <w:bottom w:val="nil"/>
              <w:right w:val="nil"/>
            </w:tcBorders>
            <w:shd w:val="clear" w:color="auto" w:fill="auto"/>
            <w:noWrap/>
            <w:vAlign w:val="bottom"/>
          </w:tcPr>
          <w:p w14:paraId="5E51FF45" w14:textId="7D3ECB6F" w:rsidR="00A1786C" w:rsidRPr="005949EB" w:rsidRDefault="00A1786C" w:rsidP="00A1786C">
            <w:pPr>
              <w:spacing w:after="0" w:line="240" w:lineRule="auto"/>
              <w:jc w:val="center"/>
              <w:rPr>
                <w:rFonts w:ascii="Open Sans" w:eastAsia="Times New Roman" w:hAnsi="Open Sans" w:cs="Open Sans"/>
                <w:color w:val="000000"/>
              </w:rPr>
            </w:pPr>
            <w:r>
              <w:rPr>
                <w:rFonts w:ascii="Calibri" w:hAnsi="Calibri" w:cs="Calibri"/>
                <w:color w:val="000000"/>
              </w:rPr>
              <w:t>1.00</w:t>
            </w:r>
          </w:p>
        </w:tc>
        <w:tc>
          <w:tcPr>
            <w:tcW w:w="2970" w:type="dxa"/>
            <w:tcBorders>
              <w:top w:val="nil"/>
              <w:left w:val="nil"/>
              <w:bottom w:val="nil"/>
              <w:right w:val="nil"/>
            </w:tcBorders>
            <w:shd w:val="clear" w:color="auto" w:fill="auto"/>
            <w:noWrap/>
            <w:vAlign w:val="bottom"/>
          </w:tcPr>
          <w:p w14:paraId="0ABAD256" w14:textId="7F9966C1" w:rsidR="00A1786C" w:rsidRPr="005949EB" w:rsidRDefault="00A1786C" w:rsidP="00A1786C">
            <w:pPr>
              <w:spacing w:after="0" w:line="240" w:lineRule="auto"/>
              <w:jc w:val="center"/>
              <w:rPr>
                <w:rFonts w:ascii="Open Sans" w:eastAsia="Times New Roman" w:hAnsi="Open Sans" w:cs="Open Sans"/>
                <w:color w:val="000000"/>
              </w:rPr>
            </w:pPr>
            <w:r>
              <w:rPr>
                <w:rFonts w:ascii="Calibri" w:hAnsi="Calibri" w:cs="Calibri"/>
                <w:color w:val="000000"/>
              </w:rPr>
              <w:t>0.00</w:t>
            </w:r>
          </w:p>
        </w:tc>
        <w:tc>
          <w:tcPr>
            <w:tcW w:w="1255" w:type="dxa"/>
            <w:tcBorders>
              <w:top w:val="nil"/>
              <w:left w:val="nil"/>
              <w:bottom w:val="nil"/>
              <w:right w:val="nil"/>
            </w:tcBorders>
            <w:shd w:val="clear" w:color="auto" w:fill="auto"/>
            <w:noWrap/>
            <w:vAlign w:val="bottom"/>
          </w:tcPr>
          <w:p w14:paraId="3C23DFAB" w14:textId="0C25EAA5" w:rsidR="00A1786C" w:rsidRPr="005949EB" w:rsidRDefault="00A1786C" w:rsidP="00A1786C">
            <w:pPr>
              <w:spacing w:after="0" w:line="240" w:lineRule="auto"/>
              <w:jc w:val="right"/>
              <w:rPr>
                <w:rFonts w:ascii="Open Sans" w:eastAsia="Times New Roman" w:hAnsi="Open Sans" w:cs="Open Sans"/>
                <w:color w:val="000000"/>
              </w:rPr>
            </w:pPr>
            <w:r>
              <w:rPr>
                <w:rFonts w:ascii="Calibri" w:hAnsi="Calibri" w:cs="Calibri"/>
                <w:color w:val="000000"/>
              </w:rPr>
              <w:t>0.00</w:t>
            </w:r>
          </w:p>
        </w:tc>
        <w:tc>
          <w:tcPr>
            <w:tcW w:w="990" w:type="dxa"/>
            <w:tcBorders>
              <w:top w:val="nil"/>
              <w:left w:val="nil"/>
              <w:bottom w:val="nil"/>
              <w:right w:val="nil"/>
            </w:tcBorders>
            <w:shd w:val="clear" w:color="auto" w:fill="auto"/>
            <w:noWrap/>
            <w:vAlign w:val="bottom"/>
          </w:tcPr>
          <w:p w14:paraId="47488653" w14:textId="234D6ED7" w:rsidR="00A1786C" w:rsidRPr="005949EB" w:rsidRDefault="00A1786C" w:rsidP="00A1786C">
            <w:pPr>
              <w:spacing w:after="0" w:line="240" w:lineRule="auto"/>
              <w:jc w:val="right"/>
              <w:rPr>
                <w:rFonts w:ascii="Open Sans" w:eastAsia="Times New Roman" w:hAnsi="Open Sans" w:cs="Open Sans"/>
                <w:color w:val="000000"/>
              </w:rPr>
            </w:pPr>
            <w:r>
              <w:rPr>
                <w:rFonts w:ascii="Calibri" w:hAnsi="Calibri" w:cs="Calibri"/>
                <w:color w:val="000000"/>
              </w:rPr>
              <w:t>0.00</w:t>
            </w:r>
          </w:p>
        </w:tc>
        <w:tc>
          <w:tcPr>
            <w:tcW w:w="1260" w:type="dxa"/>
            <w:tcBorders>
              <w:top w:val="nil"/>
              <w:left w:val="nil"/>
              <w:bottom w:val="nil"/>
              <w:right w:val="nil"/>
            </w:tcBorders>
            <w:shd w:val="clear" w:color="auto" w:fill="auto"/>
            <w:noWrap/>
            <w:vAlign w:val="bottom"/>
          </w:tcPr>
          <w:p w14:paraId="44560AE0" w14:textId="19B3DEAA" w:rsidR="00A1786C" w:rsidRPr="005949EB" w:rsidRDefault="00A1786C" w:rsidP="00A1786C">
            <w:pPr>
              <w:spacing w:after="0" w:line="240" w:lineRule="auto"/>
              <w:jc w:val="right"/>
              <w:rPr>
                <w:rFonts w:ascii="Open Sans" w:eastAsia="Times New Roman" w:hAnsi="Open Sans" w:cs="Open Sans"/>
                <w:color w:val="000000"/>
              </w:rPr>
            </w:pPr>
            <w:r>
              <w:rPr>
                <w:rFonts w:ascii="Calibri" w:hAnsi="Calibri" w:cs="Calibri"/>
                <w:color w:val="000000"/>
              </w:rPr>
              <w:t>0.00</w:t>
            </w:r>
          </w:p>
        </w:tc>
      </w:tr>
      <w:tr w:rsidR="00A1786C" w:rsidRPr="005949EB" w14:paraId="5DBCE6DF" w14:textId="77777777" w:rsidTr="00CE79C6">
        <w:trPr>
          <w:trHeight w:val="300"/>
        </w:trPr>
        <w:tc>
          <w:tcPr>
            <w:tcW w:w="2160" w:type="dxa"/>
            <w:tcBorders>
              <w:top w:val="nil"/>
              <w:left w:val="nil"/>
              <w:bottom w:val="nil"/>
              <w:right w:val="nil"/>
            </w:tcBorders>
            <w:shd w:val="clear" w:color="auto" w:fill="auto"/>
            <w:noWrap/>
            <w:vAlign w:val="bottom"/>
          </w:tcPr>
          <w:p w14:paraId="1DD741E8" w14:textId="3D73B7A7" w:rsidR="00A1786C" w:rsidRPr="005949EB" w:rsidRDefault="00A1786C" w:rsidP="00A1786C">
            <w:pPr>
              <w:spacing w:after="0" w:line="240" w:lineRule="auto"/>
              <w:jc w:val="center"/>
              <w:rPr>
                <w:rFonts w:ascii="Segoe UI" w:eastAsia="Times New Roman" w:hAnsi="Segoe UI" w:cs="Segoe UI"/>
                <w:color w:val="000000"/>
              </w:rPr>
            </w:pPr>
            <w:r>
              <w:rPr>
                <w:rFonts w:ascii="Calibri" w:hAnsi="Calibri" w:cs="Calibri"/>
                <w:color w:val="000000"/>
              </w:rPr>
              <w:t>2.00</w:t>
            </w:r>
          </w:p>
        </w:tc>
        <w:tc>
          <w:tcPr>
            <w:tcW w:w="2970" w:type="dxa"/>
            <w:tcBorders>
              <w:top w:val="nil"/>
              <w:left w:val="nil"/>
              <w:bottom w:val="nil"/>
              <w:right w:val="nil"/>
            </w:tcBorders>
            <w:shd w:val="clear" w:color="auto" w:fill="auto"/>
            <w:noWrap/>
            <w:vAlign w:val="bottom"/>
          </w:tcPr>
          <w:p w14:paraId="66083054" w14:textId="4FB36967" w:rsidR="00A1786C" w:rsidRPr="005949EB" w:rsidRDefault="00A1786C" w:rsidP="00A1786C">
            <w:pPr>
              <w:spacing w:after="0" w:line="240" w:lineRule="auto"/>
              <w:jc w:val="center"/>
              <w:rPr>
                <w:rFonts w:ascii="Segoe UI" w:eastAsia="Times New Roman" w:hAnsi="Segoe UI" w:cs="Segoe UI"/>
                <w:color w:val="000000"/>
              </w:rPr>
            </w:pPr>
            <w:r>
              <w:rPr>
                <w:rFonts w:ascii="Calibri" w:hAnsi="Calibri" w:cs="Calibri"/>
                <w:color w:val="000000"/>
              </w:rPr>
              <w:t>0.00</w:t>
            </w:r>
          </w:p>
        </w:tc>
        <w:tc>
          <w:tcPr>
            <w:tcW w:w="1255" w:type="dxa"/>
            <w:tcBorders>
              <w:top w:val="nil"/>
              <w:left w:val="nil"/>
              <w:bottom w:val="nil"/>
              <w:right w:val="nil"/>
            </w:tcBorders>
            <w:shd w:val="clear" w:color="auto" w:fill="auto"/>
            <w:noWrap/>
            <w:vAlign w:val="bottom"/>
          </w:tcPr>
          <w:p w14:paraId="6332F88E" w14:textId="40F1D1BE" w:rsidR="00A1786C" w:rsidRPr="005949EB" w:rsidRDefault="00A1786C" w:rsidP="00A1786C">
            <w:pPr>
              <w:spacing w:after="0" w:line="240" w:lineRule="auto"/>
              <w:jc w:val="right"/>
              <w:rPr>
                <w:rFonts w:ascii="Segoe UI" w:eastAsia="Times New Roman" w:hAnsi="Segoe UI" w:cs="Segoe UI"/>
                <w:color w:val="000000"/>
              </w:rPr>
            </w:pPr>
            <w:r>
              <w:rPr>
                <w:rFonts w:ascii="Calibri" w:hAnsi="Calibri" w:cs="Calibri"/>
                <w:color w:val="000000"/>
              </w:rPr>
              <w:t>0.00</w:t>
            </w:r>
          </w:p>
        </w:tc>
        <w:tc>
          <w:tcPr>
            <w:tcW w:w="990" w:type="dxa"/>
            <w:tcBorders>
              <w:top w:val="nil"/>
              <w:left w:val="nil"/>
              <w:bottom w:val="nil"/>
              <w:right w:val="nil"/>
            </w:tcBorders>
            <w:shd w:val="clear" w:color="auto" w:fill="auto"/>
            <w:noWrap/>
            <w:vAlign w:val="bottom"/>
          </w:tcPr>
          <w:p w14:paraId="35764AF6" w14:textId="0C8A355C" w:rsidR="00A1786C" w:rsidRPr="005949EB" w:rsidRDefault="00A1786C" w:rsidP="00A1786C">
            <w:pPr>
              <w:spacing w:after="0" w:line="240" w:lineRule="auto"/>
              <w:jc w:val="right"/>
              <w:rPr>
                <w:rFonts w:ascii="Segoe UI" w:eastAsia="Times New Roman" w:hAnsi="Segoe UI" w:cs="Segoe UI"/>
                <w:color w:val="000000"/>
              </w:rPr>
            </w:pPr>
            <w:r>
              <w:rPr>
                <w:rFonts w:ascii="Calibri" w:hAnsi="Calibri" w:cs="Calibri"/>
                <w:color w:val="000000"/>
              </w:rPr>
              <w:t>0.00</w:t>
            </w:r>
          </w:p>
        </w:tc>
        <w:tc>
          <w:tcPr>
            <w:tcW w:w="1260" w:type="dxa"/>
            <w:tcBorders>
              <w:top w:val="nil"/>
              <w:left w:val="nil"/>
              <w:bottom w:val="nil"/>
              <w:right w:val="nil"/>
            </w:tcBorders>
            <w:shd w:val="clear" w:color="auto" w:fill="auto"/>
            <w:noWrap/>
            <w:vAlign w:val="bottom"/>
          </w:tcPr>
          <w:p w14:paraId="16267E03" w14:textId="5216CCFB" w:rsidR="00A1786C" w:rsidRPr="005949EB" w:rsidRDefault="00A1786C" w:rsidP="00A1786C">
            <w:pPr>
              <w:spacing w:after="0" w:line="240" w:lineRule="auto"/>
              <w:jc w:val="right"/>
              <w:rPr>
                <w:rFonts w:ascii="Segoe UI" w:eastAsia="Times New Roman" w:hAnsi="Segoe UI" w:cs="Segoe UI"/>
                <w:color w:val="000000"/>
              </w:rPr>
            </w:pPr>
            <w:r>
              <w:rPr>
                <w:rFonts w:ascii="Calibri" w:hAnsi="Calibri" w:cs="Calibri"/>
                <w:color w:val="000000"/>
              </w:rPr>
              <w:t>0.00</w:t>
            </w:r>
          </w:p>
        </w:tc>
      </w:tr>
      <w:tr w:rsidR="00A1786C" w:rsidRPr="005949EB" w14:paraId="214CE148" w14:textId="77777777" w:rsidTr="00CE79C6">
        <w:trPr>
          <w:trHeight w:val="300"/>
        </w:trPr>
        <w:tc>
          <w:tcPr>
            <w:tcW w:w="2160" w:type="dxa"/>
            <w:tcBorders>
              <w:top w:val="nil"/>
              <w:left w:val="nil"/>
              <w:bottom w:val="nil"/>
              <w:right w:val="nil"/>
            </w:tcBorders>
            <w:shd w:val="clear" w:color="auto" w:fill="auto"/>
            <w:noWrap/>
            <w:vAlign w:val="bottom"/>
          </w:tcPr>
          <w:p w14:paraId="1F6EE4DC" w14:textId="0A306223" w:rsidR="00A1786C" w:rsidRPr="005949EB" w:rsidRDefault="00A1786C" w:rsidP="00A1786C">
            <w:pPr>
              <w:spacing w:after="0" w:line="240" w:lineRule="auto"/>
              <w:jc w:val="center"/>
              <w:rPr>
                <w:rFonts w:ascii="Calibri" w:hAnsi="Calibri" w:cs="Calibri"/>
                <w:color w:val="000000"/>
              </w:rPr>
            </w:pPr>
            <w:r>
              <w:rPr>
                <w:rFonts w:ascii="Calibri" w:hAnsi="Calibri" w:cs="Calibri"/>
                <w:color w:val="000000"/>
              </w:rPr>
              <w:t>3.00</w:t>
            </w:r>
          </w:p>
        </w:tc>
        <w:tc>
          <w:tcPr>
            <w:tcW w:w="2970" w:type="dxa"/>
            <w:tcBorders>
              <w:top w:val="nil"/>
              <w:left w:val="nil"/>
              <w:bottom w:val="nil"/>
              <w:right w:val="nil"/>
            </w:tcBorders>
            <w:shd w:val="clear" w:color="auto" w:fill="auto"/>
            <w:noWrap/>
            <w:vAlign w:val="bottom"/>
          </w:tcPr>
          <w:p w14:paraId="7C4E7EDF" w14:textId="73C483F9" w:rsidR="00A1786C" w:rsidRPr="005949EB" w:rsidRDefault="00A1786C" w:rsidP="00A1786C">
            <w:pPr>
              <w:spacing w:after="0" w:line="240" w:lineRule="auto"/>
              <w:jc w:val="center"/>
              <w:rPr>
                <w:rFonts w:ascii="Calibri" w:hAnsi="Calibri" w:cs="Calibri"/>
                <w:color w:val="000000"/>
              </w:rPr>
            </w:pPr>
            <w:r>
              <w:rPr>
                <w:rFonts w:ascii="Calibri" w:hAnsi="Calibri" w:cs="Calibri"/>
                <w:color w:val="000000"/>
              </w:rPr>
              <w:t>0.00</w:t>
            </w:r>
          </w:p>
        </w:tc>
        <w:tc>
          <w:tcPr>
            <w:tcW w:w="1255" w:type="dxa"/>
            <w:tcBorders>
              <w:top w:val="nil"/>
              <w:left w:val="nil"/>
              <w:bottom w:val="nil"/>
              <w:right w:val="nil"/>
            </w:tcBorders>
            <w:shd w:val="clear" w:color="auto" w:fill="auto"/>
            <w:noWrap/>
            <w:vAlign w:val="bottom"/>
          </w:tcPr>
          <w:p w14:paraId="6A661EA1" w14:textId="76D9DB7C" w:rsidR="00A1786C" w:rsidRPr="005949EB" w:rsidRDefault="00A1786C" w:rsidP="00A1786C">
            <w:pPr>
              <w:spacing w:after="0" w:line="240" w:lineRule="auto"/>
              <w:jc w:val="right"/>
              <w:rPr>
                <w:rFonts w:ascii="Calibri" w:hAnsi="Calibri" w:cs="Calibri"/>
                <w:color w:val="000000"/>
              </w:rPr>
            </w:pPr>
            <w:r>
              <w:rPr>
                <w:rFonts w:ascii="Calibri" w:hAnsi="Calibri" w:cs="Calibri"/>
                <w:color w:val="000000"/>
              </w:rPr>
              <w:t>0.00</w:t>
            </w:r>
          </w:p>
        </w:tc>
        <w:tc>
          <w:tcPr>
            <w:tcW w:w="990" w:type="dxa"/>
            <w:tcBorders>
              <w:top w:val="nil"/>
              <w:left w:val="nil"/>
              <w:bottom w:val="nil"/>
              <w:right w:val="nil"/>
            </w:tcBorders>
            <w:shd w:val="clear" w:color="auto" w:fill="auto"/>
            <w:noWrap/>
            <w:vAlign w:val="bottom"/>
          </w:tcPr>
          <w:p w14:paraId="6AB1FCCC" w14:textId="3388F011" w:rsidR="00A1786C" w:rsidRPr="005949EB" w:rsidRDefault="00A1786C" w:rsidP="00A1786C">
            <w:pPr>
              <w:spacing w:after="0" w:line="240" w:lineRule="auto"/>
              <w:jc w:val="right"/>
              <w:rPr>
                <w:rFonts w:ascii="Calibri" w:hAnsi="Calibri" w:cs="Calibri"/>
                <w:color w:val="000000"/>
              </w:rPr>
            </w:pPr>
            <w:r>
              <w:rPr>
                <w:rFonts w:ascii="Calibri" w:hAnsi="Calibri" w:cs="Calibri"/>
                <w:color w:val="000000"/>
              </w:rPr>
              <w:t>0.00</w:t>
            </w:r>
          </w:p>
        </w:tc>
        <w:tc>
          <w:tcPr>
            <w:tcW w:w="1260" w:type="dxa"/>
            <w:tcBorders>
              <w:top w:val="nil"/>
              <w:left w:val="nil"/>
              <w:bottom w:val="nil"/>
              <w:right w:val="nil"/>
            </w:tcBorders>
            <w:shd w:val="clear" w:color="auto" w:fill="auto"/>
            <w:noWrap/>
            <w:vAlign w:val="bottom"/>
          </w:tcPr>
          <w:p w14:paraId="493C170B" w14:textId="5533AF04" w:rsidR="00A1786C" w:rsidRPr="005949EB" w:rsidRDefault="00A1786C" w:rsidP="00A1786C">
            <w:pPr>
              <w:spacing w:after="0" w:line="240" w:lineRule="auto"/>
              <w:jc w:val="right"/>
              <w:rPr>
                <w:rFonts w:ascii="Calibri" w:hAnsi="Calibri" w:cs="Calibri"/>
                <w:color w:val="000000"/>
              </w:rPr>
            </w:pPr>
            <w:r>
              <w:rPr>
                <w:rFonts w:ascii="Calibri" w:hAnsi="Calibri" w:cs="Calibri"/>
                <w:color w:val="000000"/>
              </w:rPr>
              <w:t>0.00</w:t>
            </w:r>
          </w:p>
        </w:tc>
      </w:tr>
      <w:tr w:rsidR="00A1786C" w:rsidRPr="005949EB" w14:paraId="4F8A159E" w14:textId="77777777" w:rsidTr="00CE79C6">
        <w:trPr>
          <w:trHeight w:val="300"/>
        </w:trPr>
        <w:tc>
          <w:tcPr>
            <w:tcW w:w="2160" w:type="dxa"/>
            <w:tcBorders>
              <w:top w:val="nil"/>
              <w:left w:val="nil"/>
              <w:bottom w:val="nil"/>
              <w:right w:val="nil"/>
            </w:tcBorders>
            <w:shd w:val="clear" w:color="auto" w:fill="auto"/>
            <w:noWrap/>
            <w:vAlign w:val="bottom"/>
          </w:tcPr>
          <w:p w14:paraId="561010BC" w14:textId="2C464505" w:rsidR="00A1786C" w:rsidRPr="005949EB" w:rsidRDefault="00A1786C" w:rsidP="00A1786C">
            <w:pPr>
              <w:spacing w:after="0" w:line="240" w:lineRule="auto"/>
              <w:jc w:val="center"/>
              <w:rPr>
                <w:rFonts w:ascii="Calibri" w:hAnsi="Calibri" w:cs="Calibri"/>
                <w:color w:val="000000"/>
              </w:rPr>
            </w:pPr>
            <w:r>
              <w:rPr>
                <w:rFonts w:ascii="Calibri" w:hAnsi="Calibri" w:cs="Calibri"/>
                <w:color w:val="000000"/>
              </w:rPr>
              <w:t>4.00</w:t>
            </w:r>
          </w:p>
        </w:tc>
        <w:tc>
          <w:tcPr>
            <w:tcW w:w="2970" w:type="dxa"/>
            <w:tcBorders>
              <w:top w:val="nil"/>
              <w:left w:val="nil"/>
              <w:bottom w:val="nil"/>
              <w:right w:val="nil"/>
            </w:tcBorders>
            <w:shd w:val="clear" w:color="auto" w:fill="auto"/>
            <w:noWrap/>
            <w:vAlign w:val="bottom"/>
          </w:tcPr>
          <w:p w14:paraId="415ED35D" w14:textId="1285253C" w:rsidR="00A1786C" w:rsidRPr="005949EB" w:rsidRDefault="00A1786C" w:rsidP="00A1786C">
            <w:pPr>
              <w:spacing w:after="0" w:line="240" w:lineRule="auto"/>
              <w:jc w:val="center"/>
              <w:rPr>
                <w:rFonts w:ascii="Calibri" w:hAnsi="Calibri" w:cs="Calibri"/>
                <w:color w:val="000000"/>
              </w:rPr>
            </w:pPr>
            <w:r>
              <w:rPr>
                <w:rFonts w:ascii="Calibri" w:hAnsi="Calibri" w:cs="Calibri"/>
                <w:color w:val="000000"/>
              </w:rPr>
              <w:t>0.00</w:t>
            </w:r>
          </w:p>
        </w:tc>
        <w:tc>
          <w:tcPr>
            <w:tcW w:w="1255" w:type="dxa"/>
            <w:tcBorders>
              <w:top w:val="nil"/>
              <w:left w:val="nil"/>
              <w:bottom w:val="nil"/>
              <w:right w:val="nil"/>
            </w:tcBorders>
            <w:shd w:val="clear" w:color="auto" w:fill="auto"/>
            <w:noWrap/>
            <w:vAlign w:val="bottom"/>
          </w:tcPr>
          <w:p w14:paraId="6DDF732B" w14:textId="0F7D7E45" w:rsidR="00A1786C" w:rsidRPr="005949EB" w:rsidRDefault="00A1786C" w:rsidP="00A1786C">
            <w:pPr>
              <w:spacing w:after="0" w:line="240" w:lineRule="auto"/>
              <w:jc w:val="right"/>
              <w:rPr>
                <w:rFonts w:ascii="Calibri" w:hAnsi="Calibri" w:cs="Calibri"/>
                <w:color w:val="000000"/>
              </w:rPr>
            </w:pPr>
            <w:r>
              <w:rPr>
                <w:rFonts w:ascii="Calibri" w:hAnsi="Calibri" w:cs="Calibri"/>
                <w:color w:val="000000"/>
              </w:rPr>
              <w:t>0.00</w:t>
            </w:r>
          </w:p>
        </w:tc>
        <w:tc>
          <w:tcPr>
            <w:tcW w:w="990" w:type="dxa"/>
            <w:tcBorders>
              <w:top w:val="nil"/>
              <w:left w:val="nil"/>
              <w:bottom w:val="nil"/>
              <w:right w:val="nil"/>
            </w:tcBorders>
            <w:shd w:val="clear" w:color="auto" w:fill="auto"/>
            <w:noWrap/>
            <w:vAlign w:val="bottom"/>
          </w:tcPr>
          <w:p w14:paraId="30523767" w14:textId="3295331F" w:rsidR="00A1786C" w:rsidRPr="005949EB" w:rsidRDefault="00A1786C" w:rsidP="00A1786C">
            <w:pPr>
              <w:spacing w:after="0" w:line="240" w:lineRule="auto"/>
              <w:jc w:val="right"/>
              <w:rPr>
                <w:rFonts w:ascii="Calibri" w:hAnsi="Calibri" w:cs="Calibri"/>
                <w:color w:val="000000"/>
              </w:rPr>
            </w:pPr>
            <w:r>
              <w:rPr>
                <w:rFonts w:ascii="Calibri" w:hAnsi="Calibri" w:cs="Calibri"/>
                <w:color w:val="000000"/>
              </w:rPr>
              <w:t>0.00</w:t>
            </w:r>
          </w:p>
        </w:tc>
        <w:tc>
          <w:tcPr>
            <w:tcW w:w="1260" w:type="dxa"/>
            <w:tcBorders>
              <w:top w:val="nil"/>
              <w:left w:val="nil"/>
              <w:bottom w:val="nil"/>
              <w:right w:val="nil"/>
            </w:tcBorders>
            <w:shd w:val="clear" w:color="auto" w:fill="auto"/>
            <w:noWrap/>
            <w:vAlign w:val="bottom"/>
          </w:tcPr>
          <w:p w14:paraId="5D242AC8" w14:textId="735CCD43" w:rsidR="00A1786C" w:rsidRPr="005949EB" w:rsidRDefault="00A1786C" w:rsidP="00A1786C">
            <w:pPr>
              <w:spacing w:after="0" w:line="240" w:lineRule="auto"/>
              <w:jc w:val="right"/>
              <w:rPr>
                <w:rFonts w:ascii="Calibri" w:hAnsi="Calibri" w:cs="Calibri"/>
                <w:color w:val="000000"/>
              </w:rPr>
            </w:pPr>
            <w:r>
              <w:rPr>
                <w:rFonts w:ascii="Calibri" w:hAnsi="Calibri" w:cs="Calibri"/>
                <w:color w:val="000000"/>
              </w:rPr>
              <w:t>0.00</w:t>
            </w:r>
          </w:p>
        </w:tc>
      </w:tr>
      <w:tr w:rsidR="00A1786C" w:rsidRPr="005949EB" w14:paraId="218A3AD4" w14:textId="77777777" w:rsidTr="00CE79C6">
        <w:trPr>
          <w:trHeight w:val="300"/>
        </w:trPr>
        <w:tc>
          <w:tcPr>
            <w:tcW w:w="2160" w:type="dxa"/>
            <w:tcBorders>
              <w:top w:val="nil"/>
              <w:left w:val="nil"/>
              <w:bottom w:val="nil"/>
              <w:right w:val="nil"/>
            </w:tcBorders>
            <w:shd w:val="clear" w:color="auto" w:fill="auto"/>
            <w:noWrap/>
            <w:vAlign w:val="bottom"/>
          </w:tcPr>
          <w:p w14:paraId="0C567B66" w14:textId="1AA6D9CA" w:rsidR="00A1786C" w:rsidRPr="005949EB" w:rsidRDefault="00A1786C" w:rsidP="00A1786C">
            <w:pPr>
              <w:spacing w:after="0" w:line="240" w:lineRule="auto"/>
              <w:jc w:val="center"/>
              <w:rPr>
                <w:rFonts w:ascii="Calibri" w:hAnsi="Calibri" w:cs="Calibri"/>
                <w:color w:val="000000"/>
              </w:rPr>
            </w:pPr>
            <w:r>
              <w:rPr>
                <w:rFonts w:ascii="Calibri" w:hAnsi="Calibri" w:cs="Calibri"/>
                <w:color w:val="000000"/>
              </w:rPr>
              <w:t>6.00</w:t>
            </w:r>
          </w:p>
        </w:tc>
        <w:tc>
          <w:tcPr>
            <w:tcW w:w="2970" w:type="dxa"/>
            <w:tcBorders>
              <w:top w:val="nil"/>
              <w:left w:val="nil"/>
              <w:bottom w:val="nil"/>
              <w:right w:val="nil"/>
            </w:tcBorders>
            <w:shd w:val="clear" w:color="auto" w:fill="auto"/>
            <w:noWrap/>
            <w:vAlign w:val="bottom"/>
          </w:tcPr>
          <w:p w14:paraId="6CC8BBA3" w14:textId="5BEC2CCF" w:rsidR="00A1786C" w:rsidRPr="005949EB" w:rsidRDefault="00A1786C" w:rsidP="00A1786C">
            <w:pPr>
              <w:spacing w:after="0" w:line="240" w:lineRule="auto"/>
              <w:jc w:val="center"/>
              <w:rPr>
                <w:rFonts w:ascii="Calibri" w:hAnsi="Calibri" w:cs="Calibri"/>
                <w:color w:val="000000"/>
              </w:rPr>
            </w:pPr>
            <w:r>
              <w:rPr>
                <w:rFonts w:ascii="Calibri" w:hAnsi="Calibri" w:cs="Calibri"/>
                <w:color w:val="000000"/>
              </w:rPr>
              <w:t>0.00</w:t>
            </w:r>
          </w:p>
        </w:tc>
        <w:tc>
          <w:tcPr>
            <w:tcW w:w="1255" w:type="dxa"/>
            <w:tcBorders>
              <w:top w:val="nil"/>
              <w:left w:val="nil"/>
              <w:bottom w:val="nil"/>
              <w:right w:val="nil"/>
            </w:tcBorders>
            <w:shd w:val="clear" w:color="auto" w:fill="auto"/>
            <w:noWrap/>
            <w:vAlign w:val="bottom"/>
          </w:tcPr>
          <w:p w14:paraId="6BD35645" w14:textId="66CAED7B" w:rsidR="00A1786C" w:rsidRPr="005949EB" w:rsidRDefault="00A1786C" w:rsidP="00A1786C">
            <w:pPr>
              <w:spacing w:after="0" w:line="240" w:lineRule="auto"/>
              <w:jc w:val="right"/>
              <w:rPr>
                <w:rFonts w:ascii="Calibri" w:hAnsi="Calibri" w:cs="Calibri"/>
                <w:color w:val="000000"/>
              </w:rPr>
            </w:pPr>
            <w:r>
              <w:rPr>
                <w:rFonts w:ascii="Calibri" w:hAnsi="Calibri" w:cs="Calibri"/>
                <w:color w:val="000000"/>
              </w:rPr>
              <w:t>0.00</w:t>
            </w:r>
          </w:p>
        </w:tc>
        <w:tc>
          <w:tcPr>
            <w:tcW w:w="990" w:type="dxa"/>
            <w:tcBorders>
              <w:top w:val="nil"/>
              <w:left w:val="nil"/>
              <w:bottom w:val="nil"/>
              <w:right w:val="nil"/>
            </w:tcBorders>
            <w:shd w:val="clear" w:color="auto" w:fill="auto"/>
            <w:noWrap/>
            <w:vAlign w:val="bottom"/>
          </w:tcPr>
          <w:p w14:paraId="25A19139" w14:textId="77F60FBF" w:rsidR="00A1786C" w:rsidRPr="005949EB" w:rsidRDefault="00A1786C" w:rsidP="00A1786C">
            <w:pPr>
              <w:spacing w:after="0" w:line="240" w:lineRule="auto"/>
              <w:jc w:val="right"/>
              <w:rPr>
                <w:rFonts w:ascii="Calibri" w:hAnsi="Calibri" w:cs="Calibri"/>
                <w:color w:val="000000"/>
              </w:rPr>
            </w:pPr>
            <w:r>
              <w:rPr>
                <w:rFonts w:ascii="Calibri" w:hAnsi="Calibri" w:cs="Calibri"/>
                <w:color w:val="000000"/>
              </w:rPr>
              <w:t>0.00</w:t>
            </w:r>
          </w:p>
        </w:tc>
        <w:tc>
          <w:tcPr>
            <w:tcW w:w="1260" w:type="dxa"/>
            <w:tcBorders>
              <w:top w:val="nil"/>
              <w:left w:val="nil"/>
              <w:bottom w:val="nil"/>
              <w:right w:val="nil"/>
            </w:tcBorders>
            <w:shd w:val="clear" w:color="auto" w:fill="auto"/>
            <w:noWrap/>
            <w:vAlign w:val="bottom"/>
          </w:tcPr>
          <w:p w14:paraId="424D10CC" w14:textId="31DBD41F" w:rsidR="00A1786C" w:rsidRPr="005949EB" w:rsidRDefault="00A1786C" w:rsidP="00A1786C">
            <w:pPr>
              <w:spacing w:after="0" w:line="240" w:lineRule="auto"/>
              <w:jc w:val="right"/>
              <w:rPr>
                <w:rFonts w:ascii="Calibri" w:hAnsi="Calibri" w:cs="Calibri"/>
                <w:color w:val="000000"/>
              </w:rPr>
            </w:pPr>
            <w:r>
              <w:rPr>
                <w:rFonts w:ascii="Calibri" w:hAnsi="Calibri" w:cs="Calibri"/>
                <w:color w:val="000000"/>
              </w:rPr>
              <w:t>0.00</w:t>
            </w:r>
          </w:p>
        </w:tc>
      </w:tr>
      <w:tr w:rsidR="00A1786C" w:rsidRPr="005949EB" w14:paraId="76A76360" w14:textId="77777777" w:rsidTr="00CE79C6">
        <w:trPr>
          <w:trHeight w:val="300"/>
        </w:trPr>
        <w:tc>
          <w:tcPr>
            <w:tcW w:w="2160" w:type="dxa"/>
            <w:tcBorders>
              <w:top w:val="nil"/>
              <w:left w:val="nil"/>
              <w:bottom w:val="nil"/>
              <w:right w:val="nil"/>
            </w:tcBorders>
            <w:shd w:val="clear" w:color="auto" w:fill="auto"/>
            <w:noWrap/>
            <w:vAlign w:val="bottom"/>
          </w:tcPr>
          <w:p w14:paraId="5506A002" w14:textId="5CBD60E1" w:rsidR="00A1786C" w:rsidRPr="005949EB" w:rsidRDefault="00A1786C" w:rsidP="00A1786C">
            <w:pPr>
              <w:spacing w:after="0" w:line="240" w:lineRule="auto"/>
              <w:jc w:val="center"/>
              <w:rPr>
                <w:rFonts w:ascii="Calibri" w:hAnsi="Calibri" w:cs="Calibri"/>
                <w:color w:val="000000"/>
              </w:rPr>
            </w:pPr>
            <w:r>
              <w:rPr>
                <w:rFonts w:ascii="Calibri" w:hAnsi="Calibri" w:cs="Calibri"/>
                <w:color w:val="000000"/>
              </w:rPr>
              <w:t>8.50</w:t>
            </w:r>
          </w:p>
        </w:tc>
        <w:tc>
          <w:tcPr>
            <w:tcW w:w="2970" w:type="dxa"/>
            <w:tcBorders>
              <w:top w:val="nil"/>
              <w:left w:val="nil"/>
              <w:bottom w:val="nil"/>
              <w:right w:val="nil"/>
            </w:tcBorders>
            <w:shd w:val="clear" w:color="auto" w:fill="auto"/>
            <w:noWrap/>
            <w:vAlign w:val="bottom"/>
          </w:tcPr>
          <w:p w14:paraId="7A354C8E" w14:textId="247A7412" w:rsidR="00A1786C" w:rsidRPr="005949EB" w:rsidRDefault="00A1786C" w:rsidP="00A1786C">
            <w:pPr>
              <w:spacing w:after="0" w:line="240" w:lineRule="auto"/>
              <w:jc w:val="center"/>
              <w:rPr>
                <w:rFonts w:ascii="Calibri" w:hAnsi="Calibri" w:cs="Calibri"/>
                <w:color w:val="000000"/>
              </w:rPr>
            </w:pPr>
            <w:r>
              <w:rPr>
                <w:rFonts w:ascii="Calibri" w:hAnsi="Calibri" w:cs="Calibri"/>
                <w:color w:val="000000"/>
              </w:rPr>
              <w:t>25.41</w:t>
            </w:r>
          </w:p>
        </w:tc>
        <w:tc>
          <w:tcPr>
            <w:tcW w:w="1255" w:type="dxa"/>
            <w:tcBorders>
              <w:top w:val="nil"/>
              <w:left w:val="nil"/>
              <w:bottom w:val="nil"/>
              <w:right w:val="nil"/>
            </w:tcBorders>
            <w:shd w:val="clear" w:color="auto" w:fill="auto"/>
            <w:noWrap/>
            <w:vAlign w:val="bottom"/>
          </w:tcPr>
          <w:p w14:paraId="69C6F000" w14:textId="266BEDBB" w:rsidR="00A1786C" w:rsidRPr="005949EB" w:rsidRDefault="00A1786C" w:rsidP="00A1786C">
            <w:pPr>
              <w:spacing w:after="0" w:line="240" w:lineRule="auto"/>
              <w:jc w:val="right"/>
              <w:rPr>
                <w:rFonts w:ascii="Calibri" w:hAnsi="Calibri" w:cs="Calibri"/>
                <w:color w:val="000000"/>
              </w:rPr>
            </w:pPr>
            <w:r>
              <w:rPr>
                <w:rFonts w:ascii="Calibri" w:hAnsi="Calibri" w:cs="Calibri"/>
                <w:color w:val="000000"/>
              </w:rPr>
              <w:t>0.00</w:t>
            </w:r>
          </w:p>
        </w:tc>
        <w:tc>
          <w:tcPr>
            <w:tcW w:w="990" w:type="dxa"/>
            <w:tcBorders>
              <w:top w:val="nil"/>
              <w:left w:val="nil"/>
              <w:bottom w:val="nil"/>
              <w:right w:val="nil"/>
            </w:tcBorders>
            <w:shd w:val="clear" w:color="auto" w:fill="auto"/>
            <w:noWrap/>
            <w:vAlign w:val="bottom"/>
          </w:tcPr>
          <w:p w14:paraId="0FF21921" w14:textId="33E80BB8" w:rsidR="00A1786C" w:rsidRPr="005949EB" w:rsidRDefault="00A1786C" w:rsidP="00A1786C">
            <w:pPr>
              <w:spacing w:after="0" w:line="240" w:lineRule="auto"/>
              <w:jc w:val="right"/>
              <w:rPr>
                <w:rFonts w:ascii="Calibri" w:hAnsi="Calibri" w:cs="Calibri"/>
                <w:color w:val="000000"/>
              </w:rPr>
            </w:pPr>
            <w:r>
              <w:rPr>
                <w:rFonts w:ascii="Calibri" w:hAnsi="Calibri" w:cs="Calibri"/>
                <w:color w:val="000000"/>
              </w:rPr>
              <w:t>0.00</w:t>
            </w:r>
          </w:p>
        </w:tc>
        <w:tc>
          <w:tcPr>
            <w:tcW w:w="1260" w:type="dxa"/>
            <w:tcBorders>
              <w:top w:val="nil"/>
              <w:left w:val="nil"/>
              <w:bottom w:val="nil"/>
              <w:right w:val="nil"/>
            </w:tcBorders>
            <w:shd w:val="clear" w:color="auto" w:fill="auto"/>
            <w:noWrap/>
            <w:vAlign w:val="bottom"/>
          </w:tcPr>
          <w:p w14:paraId="55BAB465" w14:textId="3B7C34CB" w:rsidR="00A1786C" w:rsidRPr="005949EB" w:rsidRDefault="00A1786C" w:rsidP="00A1786C">
            <w:pPr>
              <w:spacing w:after="0" w:line="240" w:lineRule="auto"/>
              <w:jc w:val="right"/>
              <w:rPr>
                <w:rFonts w:ascii="Calibri" w:hAnsi="Calibri" w:cs="Calibri"/>
                <w:color w:val="000000"/>
              </w:rPr>
            </w:pPr>
            <w:r>
              <w:rPr>
                <w:rFonts w:ascii="Calibri" w:hAnsi="Calibri" w:cs="Calibri"/>
                <w:color w:val="000000"/>
              </w:rPr>
              <w:t>71.31</w:t>
            </w:r>
          </w:p>
        </w:tc>
      </w:tr>
      <w:tr w:rsidR="00A1786C" w:rsidRPr="005949EB" w14:paraId="09D01992" w14:textId="77777777" w:rsidTr="00CE79C6">
        <w:trPr>
          <w:trHeight w:val="300"/>
        </w:trPr>
        <w:tc>
          <w:tcPr>
            <w:tcW w:w="2160" w:type="dxa"/>
            <w:tcBorders>
              <w:top w:val="nil"/>
              <w:left w:val="nil"/>
              <w:bottom w:val="nil"/>
              <w:right w:val="nil"/>
            </w:tcBorders>
            <w:shd w:val="clear" w:color="auto" w:fill="auto"/>
            <w:noWrap/>
            <w:vAlign w:val="bottom"/>
          </w:tcPr>
          <w:p w14:paraId="3382CE8A" w14:textId="52729787" w:rsidR="00A1786C" w:rsidRPr="005949EB" w:rsidRDefault="00A1786C" w:rsidP="00A1786C">
            <w:pPr>
              <w:spacing w:after="0" w:line="240" w:lineRule="auto"/>
              <w:jc w:val="center"/>
              <w:rPr>
                <w:rFonts w:ascii="Calibri" w:hAnsi="Calibri" w:cs="Calibri"/>
                <w:color w:val="000000"/>
              </w:rPr>
            </w:pPr>
            <w:r>
              <w:rPr>
                <w:rFonts w:ascii="Calibri" w:hAnsi="Calibri" w:cs="Calibri"/>
                <w:color w:val="000000"/>
              </w:rPr>
              <w:t>10.00</w:t>
            </w:r>
          </w:p>
        </w:tc>
        <w:tc>
          <w:tcPr>
            <w:tcW w:w="2970" w:type="dxa"/>
            <w:tcBorders>
              <w:top w:val="nil"/>
              <w:left w:val="nil"/>
              <w:bottom w:val="nil"/>
              <w:right w:val="nil"/>
            </w:tcBorders>
            <w:shd w:val="clear" w:color="auto" w:fill="auto"/>
            <w:noWrap/>
            <w:vAlign w:val="bottom"/>
          </w:tcPr>
          <w:p w14:paraId="3C3A5E7F" w14:textId="5DE65F8A" w:rsidR="00A1786C" w:rsidRPr="005949EB" w:rsidRDefault="00A1786C" w:rsidP="00A1786C">
            <w:pPr>
              <w:spacing w:after="0" w:line="240" w:lineRule="auto"/>
              <w:jc w:val="center"/>
              <w:rPr>
                <w:rFonts w:ascii="Calibri" w:hAnsi="Calibri" w:cs="Calibri"/>
                <w:color w:val="000000"/>
              </w:rPr>
            </w:pPr>
            <w:r>
              <w:rPr>
                <w:rFonts w:ascii="Calibri" w:hAnsi="Calibri" w:cs="Calibri"/>
                <w:color w:val="000000"/>
              </w:rPr>
              <w:t>40.16</w:t>
            </w:r>
          </w:p>
        </w:tc>
        <w:tc>
          <w:tcPr>
            <w:tcW w:w="1255" w:type="dxa"/>
            <w:tcBorders>
              <w:top w:val="nil"/>
              <w:left w:val="nil"/>
              <w:bottom w:val="nil"/>
              <w:right w:val="nil"/>
            </w:tcBorders>
            <w:shd w:val="clear" w:color="auto" w:fill="auto"/>
            <w:noWrap/>
            <w:vAlign w:val="bottom"/>
          </w:tcPr>
          <w:p w14:paraId="26480A3A" w14:textId="1AE7FB4F" w:rsidR="00A1786C" w:rsidRPr="005949EB" w:rsidRDefault="00A1786C" w:rsidP="00A1786C">
            <w:pPr>
              <w:spacing w:after="0" w:line="240" w:lineRule="auto"/>
              <w:jc w:val="right"/>
              <w:rPr>
                <w:rFonts w:ascii="Calibri" w:hAnsi="Calibri" w:cs="Calibri"/>
                <w:color w:val="000000"/>
              </w:rPr>
            </w:pPr>
            <w:r>
              <w:rPr>
                <w:rFonts w:ascii="Calibri" w:hAnsi="Calibri" w:cs="Calibri"/>
                <w:color w:val="000000"/>
              </w:rPr>
              <w:t>0.00</w:t>
            </w:r>
          </w:p>
        </w:tc>
        <w:tc>
          <w:tcPr>
            <w:tcW w:w="990" w:type="dxa"/>
            <w:tcBorders>
              <w:top w:val="nil"/>
              <w:left w:val="nil"/>
              <w:bottom w:val="nil"/>
              <w:right w:val="nil"/>
            </w:tcBorders>
            <w:shd w:val="clear" w:color="auto" w:fill="auto"/>
            <w:noWrap/>
            <w:vAlign w:val="bottom"/>
          </w:tcPr>
          <w:p w14:paraId="34BD0F9D" w14:textId="45B82DCC" w:rsidR="00A1786C" w:rsidRPr="005949EB" w:rsidRDefault="00A1786C" w:rsidP="00A1786C">
            <w:pPr>
              <w:spacing w:after="0" w:line="240" w:lineRule="auto"/>
              <w:jc w:val="right"/>
              <w:rPr>
                <w:rFonts w:ascii="Calibri" w:hAnsi="Calibri" w:cs="Calibri"/>
                <w:color w:val="000000"/>
              </w:rPr>
            </w:pPr>
            <w:r>
              <w:rPr>
                <w:rFonts w:ascii="Calibri" w:hAnsi="Calibri" w:cs="Calibri"/>
                <w:color w:val="000000"/>
              </w:rPr>
              <w:t>3.28</w:t>
            </w:r>
          </w:p>
        </w:tc>
        <w:tc>
          <w:tcPr>
            <w:tcW w:w="1260" w:type="dxa"/>
            <w:tcBorders>
              <w:top w:val="nil"/>
              <w:left w:val="nil"/>
              <w:bottom w:val="nil"/>
              <w:right w:val="nil"/>
            </w:tcBorders>
            <w:shd w:val="clear" w:color="auto" w:fill="auto"/>
            <w:noWrap/>
            <w:vAlign w:val="bottom"/>
          </w:tcPr>
          <w:p w14:paraId="540CCAE2" w14:textId="365CC810" w:rsidR="00A1786C" w:rsidRPr="005949EB" w:rsidRDefault="00A1786C" w:rsidP="00A1786C">
            <w:pPr>
              <w:spacing w:after="0" w:line="240" w:lineRule="auto"/>
              <w:jc w:val="right"/>
              <w:rPr>
                <w:rFonts w:ascii="Calibri" w:hAnsi="Calibri" w:cs="Calibri"/>
                <w:color w:val="000000"/>
              </w:rPr>
            </w:pPr>
            <w:r>
              <w:rPr>
                <w:rFonts w:ascii="Calibri" w:hAnsi="Calibri" w:cs="Calibri"/>
                <w:color w:val="000000"/>
              </w:rPr>
              <w:t>89.34</w:t>
            </w:r>
          </w:p>
        </w:tc>
      </w:tr>
      <w:tr w:rsidR="00A1786C" w:rsidRPr="005949EB" w14:paraId="79C2266D" w14:textId="77777777" w:rsidTr="00CE79C6">
        <w:trPr>
          <w:trHeight w:val="300"/>
        </w:trPr>
        <w:tc>
          <w:tcPr>
            <w:tcW w:w="2160" w:type="dxa"/>
            <w:tcBorders>
              <w:top w:val="nil"/>
              <w:left w:val="nil"/>
              <w:bottom w:val="nil"/>
              <w:right w:val="nil"/>
            </w:tcBorders>
            <w:shd w:val="clear" w:color="auto" w:fill="auto"/>
            <w:noWrap/>
            <w:vAlign w:val="bottom"/>
          </w:tcPr>
          <w:p w14:paraId="51F9CB80" w14:textId="212B5016" w:rsidR="00A1786C" w:rsidRPr="005949EB" w:rsidRDefault="00A1786C" w:rsidP="00A1786C">
            <w:pPr>
              <w:spacing w:after="0" w:line="240" w:lineRule="auto"/>
              <w:jc w:val="center"/>
              <w:rPr>
                <w:rFonts w:ascii="Calibri" w:hAnsi="Calibri" w:cs="Calibri"/>
                <w:color w:val="000000"/>
              </w:rPr>
            </w:pPr>
            <w:r>
              <w:rPr>
                <w:rFonts w:ascii="Calibri" w:hAnsi="Calibri" w:cs="Calibri"/>
                <w:color w:val="000000"/>
              </w:rPr>
              <w:t>12.67</w:t>
            </w:r>
          </w:p>
        </w:tc>
        <w:tc>
          <w:tcPr>
            <w:tcW w:w="2970" w:type="dxa"/>
            <w:tcBorders>
              <w:top w:val="nil"/>
              <w:left w:val="nil"/>
              <w:bottom w:val="nil"/>
              <w:right w:val="nil"/>
            </w:tcBorders>
            <w:shd w:val="clear" w:color="auto" w:fill="auto"/>
            <w:noWrap/>
            <w:vAlign w:val="bottom"/>
          </w:tcPr>
          <w:p w14:paraId="7700C649" w14:textId="06CB89E5" w:rsidR="00A1786C" w:rsidRPr="005949EB" w:rsidRDefault="00A1786C" w:rsidP="00A1786C">
            <w:pPr>
              <w:spacing w:after="0" w:line="240" w:lineRule="auto"/>
              <w:jc w:val="center"/>
              <w:rPr>
                <w:rFonts w:ascii="Calibri" w:hAnsi="Calibri" w:cs="Calibri"/>
                <w:color w:val="000000"/>
              </w:rPr>
            </w:pPr>
            <w:r>
              <w:rPr>
                <w:rFonts w:ascii="Calibri" w:hAnsi="Calibri" w:cs="Calibri"/>
                <w:color w:val="000000"/>
              </w:rPr>
              <w:t>68.85</w:t>
            </w:r>
          </w:p>
        </w:tc>
        <w:tc>
          <w:tcPr>
            <w:tcW w:w="1255" w:type="dxa"/>
            <w:tcBorders>
              <w:top w:val="nil"/>
              <w:left w:val="nil"/>
              <w:bottom w:val="nil"/>
              <w:right w:val="nil"/>
            </w:tcBorders>
            <w:shd w:val="clear" w:color="auto" w:fill="auto"/>
            <w:noWrap/>
            <w:vAlign w:val="bottom"/>
          </w:tcPr>
          <w:p w14:paraId="73C3E816" w14:textId="164C08B8" w:rsidR="00A1786C" w:rsidRPr="005949EB" w:rsidRDefault="00A1786C" w:rsidP="00A1786C">
            <w:pPr>
              <w:spacing w:after="0" w:line="240" w:lineRule="auto"/>
              <w:jc w:val="right"/>
              <w:rPr>
                <w:rFonts w:ascii="Calibri" w:hAnsi="Calibri" w:cs="Calibri"/>
                <w:color w:val="000000"/>
              </w:rPr>
            </w:pPr>
            <w:r>
              <w:rPr>
                <w:rFonts w:ascii="Calibri" w:hAnsi="Calibri" w:cs="Calibri"/>
                <w:color w:val="000000"/>
              </w:rPr>
              <w:t>0.00</w:t>
            </w:r>
          </w:p>
        </w:tc>
        <w:tc>
          <w:tcPr>
            <w:tcW w:w="990" w:type="dxa"/>
            <w:tcBorders>
              <w:top w:val="nil"/>
              <w:left w:val="nil"/>
              <w:bottom w:val="nil"/>
              <w:right w:val="nil"/>
            </w:tcBorders>
            <w:shd w:val="clear" w:color="auto" w:fill="auto"/>
            <w:noWrap/>
            <w:vAlign w:val="bottom"/>
          </w:tcPr>
          <w:p w14:paraId="3DAB80B7" w14:textId="0EE9AF44" w:rsidR="00A1786C" w:rsidRPr="005949EB" w:rsidRDefault="00A1786C" w:rsidP="00A1786C">
            <w:pPr>
              <w:spacing w:after="0" w:line="240" w:lineRule="auto"/>
              <w:jc w:val="right"/>
              <w:rPr>
                <w:rFonts w:ascii="Calibri" w:hAnsi="Calibri" w:cs="Calibri"/>
                <w:color w:val="000000"/>
              </w:rPr>
            </w:pPr>
            <w:r>
              <w:rPr>
                <w:rFonts w:ascii="Calibri" w:hAnsi="Calibri" w:cs="Calibri"/>
                <w:color w:val="000000"/>
              </w:rPr>
              <w:t>50.82</w:t>
            </w:r>
          </w:p>
        </w:tc>
        <w:tc>
          <w:tcPr>
            <w:tcW w:w="1260" w:type="dxa"/>
            <w:tcBorders>
              <w:top w:val="nil"/>
              <w:left w:val="nil"/>
              <w:bottom w:val="nil"/>
              <w:right w:val="nil"/>
            </w:tcBorders>
            <w:shd w:val="clear" w:color="auto" w:fill="auto"/>
            <w:noWrap/>
            <w:vAlign w:val="bottom"/>
          </w:tcPr>
          <w:p w14:paraId="7775B588" w14:textId="25DB6685" w:rsidR="00A1786C" w:rsidRPr="005949EB" w:rsidRDefault="00A1786C" w:rsidP="00A1786C">
            <w:pPr>
              <w:spacing w:after="0" w:line="240" w:lineRule="auto"/>
              <w:jc w:val="right"/>
              <w:rPr>
                <w:rFonts w:ascii="Calibri" w:hAnsi="Calibri" w:cs="Calibri"/>
                <w:color w:val="000000"/>
              </w:rPr>
            </w:pPr>
            <w:r>
              <w:rPr>
                <w:rFonts w:ascii="Calibri" w:hAnsi="Calibri" w:cs="Calibri"/>
                <w:color w:val="000000"/>
              </w:rPr>
              <w:t>105.74</w:t>
            </w:r>
          </w:p>
        </w:tc>
      </w:tr>
      <w:tr w:rsidR="00A1786C" w:rsidRPr="005949EB" w14:paraId="7632049D" w14:textId="77777777" w:rsidTr="00CE79C6">
        <w:trPr>
          <w:trHeight w:val="300"/>
        </w:trPr>
        <w:tc>
          <w:tcPr>
            <w:tcW w:w="2160" w:type="dxa"/>
            <w:tcBorders>
              <w:top w:val="nil"/>
              <w:left w:val="nil"/>
              <w:bottom w:val="nil"/>
              <w:right w:val="nil"/>
            </w:tcBorders>
            <w:shd w:val="clear" w:color="auto" w:fill="auto"/>
            <w:noWrap/>
            <w:vAlign w:val="bottom"/>
          </w:tcPr>
          <w:p w14:paraId="579475E6" w14:textId="49197C06" w:rsidR="00A1786C" w:rsidRPr="005949EB" w:rsidRDefault="00A1786C" w:rsidP="00A1786C">
            <w:pPr>
              <w:spacing w:after="0" w:line="240" w:lineRule="auto"/>
              <w:jc w:val="center"/>
              <w:rPr>
                <w:rFonts w:ascii="Calibri" w:hAnsi="Calibri" w:cs="Calibri"/>
                <w:color w:val="000000"/>
              </w:rPr>
            </w:pPr>
            <w:r>
              <w:rPr>
                <w:rFonts w:ascii="Calibri" w:hAnsi="Calibri" w:cs="Calibri"/>
                <w:color w:val="000000"/>
              </w:rPr>
              <w:t>14.00</w:t>
            </w:r>
          </w:p>
        </w:tc>
        <w:tc>
          <w:tcPr>
            <w:tcW w:w="2970" w:type="dxa"/>
            <w:tcBorders>
              <w:top w:val="nil"/>
              <w:left w:val="nil"/>
              <w:bottom w:val="nil"/>
              <w:right w:val="nil"/>
            </w:tcBorders>
            <w:shd w:val="clear" w:color="auto" w:fill="auto"/>
            <w:noWrap/>
            <w:vAlign w:val="bottom"/>
          </w:tcPr>
          <w:p w14:paraId="757BE5CC" w14:textId="31AD9DEA" w:rsidR="00A1786C" w:rsidRPr="005949EB" w:rsidRDefault="00A1786C" w:rsidP="00A1786C">
            <w:pPr>
              <w:spacing w:after="0" w:line="240" w:lineRule="auto"/>
              <w:jc w:val="center"/>
              <w:rPr>
                <w:rFonts w:ascii="Calibri" w:hAnsi="Calibri" w:cs="Calibri"/>
                <w:color w:val="000000"/>
              </w:rPr>
            </w:pPr>
            <w:r>
              <w:rPr>
                <w:rFonts w:ascii="Calibri" w:hAnsi="Calibri" w:cs="Calibri"/>
                <w:color w:val="000000"/>
              </w:rPr>
              <w:t>85.25</w:t>
            </w:r>
          </w:p>
        </w:tc>
        <w:tc>
          <w:tcPr>
            <w:tcW w:w="1255" w:type="dxa"/>
            <w:tcBorders>
              <w:top w:val="nil"/>
              <w:left w:val="nil"/>
              <w:bottom w:val="nil"/>
              <w:right w:val="nil"/>
            </w:tcBorders>
            <w:shd w:val="clear" w:color="auto" w:fill="auto"/>
            <w:noWrap/>
            <w:vAlign w:val="bottom"/>
          </w:tcPr>
          <w:p w14:paraId="2D2BBCDF" w14:textId="2108D088" w:rsidR="00A1786C" w:rsidRPr="005949EB" w:rsidRDefault="00A1786C" w:rsidP="00A1786C">
            <w:pPr>
              <w:spacing w:after="0" w:line="240" w:lineRule="auto"/>
              <w:jc w:val="right"/>
              <w:rPr>
                <w:rFonts w:ascii="Calibri" w:hAnsi="Calibri" w:cs="Calibri"/>
                <w:color w:val="000000"/>
              </w:rPr>
            </w:pPr>
            <w:r>
              <w:rPr>
                <w:rFonts w:ascii="Calibri" w:hAnsi="Calibri" w:cs="Calibri"/>
                <w:color w:val="000000"/>
              </w:rPr>
              <w:t>0.00</w:t>
            </w:r>
          </w:p>
        </w:tc>
        <w:tc>
          <w:tcPr>
            <w:tcW w:w="990" w:type="dxa"/>
            <w:tcBorders>
              <w:top w:val="nil"/>
              <w:left w:val="nil"/>
              <w:bottom w:val="nil"/>
              <w:right w:val="nil"/>
            </w:tcBorders>
            <w:shd w:val="clear" w:color="auto" w:fill="auto"/>
            <w:noWrap/>
            <w:vAlign w:val="bottom"/>
          </w:tcPr>
          <w:p w14:paraId="01F970EF" w14:textId="05F306BC" w:rsidR="00A1786C" w:rsidRPr="005949EB" w:rsidRDefault="00A1786C" w:rsidP="00A1786C">
            <w:pPr>
              <w:spacing w:after="0" w:line="240" w:lineRule="auto"/>
              <w:jc w:val="right"/>
              <w:rPr>
                <w:rFonts w:ascii="Calibri" w:hAnsi="Calibri" w:cs="Calibri"/>
                <w:color w:val="000000"/>
              </w:rPr>
            </w:pPr>
            <w:r>
              <w:rPr>
                <w:rFonts w:ascii="Calibri" w:hAnsi="Calibri" w:cs="Calibri"/>
                <w:color w:val="000000"/>
              </w:rPr>
              <w:t>50.82</w:t>
            </w:r>
          </w:p>
        </w:tc>
        <w:tc>
          <w:tcPr>
            <w:tcW w:w="1260" w:type="dxa"/>
            <w:tcBorders>
              <w:top w:val="nil"/>
              <w:left w:val="nil"/>
              <w:bottom w:val="nil"/>
              <w:right w:val="nil"/>
            </w:tcBorders>
            <w:shd w:val="clear" w:color="auto" w:fill="auto"/>
            <w:noWrap/>
            <w:vAlign w:val="bottom"/>
          </w:tcPr>
          <w:p w14:paraId="596E43F5" w14:textId="1CFEE3B9" w:rsidR="00A1786C" w:rsidRPr="005949EB" w:rsidRDefault="00A1786C" w:rsidP="00A1786C">
            <w:pPr>
              <w:spacing w:after="0" w:line="240" w:lineRule="auto"/>
              <w:jc w:val="right"/>
              <w:rPr>
                <w:rFonts w:ascii="Calibri" w:hAnsi="Calibri" w:cs="Calibri"/>
                <w:color w:val="000000"/>
              </w:rPr>
            </w:pPr>
            <w:r>
              <w:rPr>
                <w:rFonts w:ascii="Calibri" w:hAnsi="Calibri" w:cs="Calibri"/>
                <w:color w:val="000000"/>
              </w:rPr>
              <w:t>123.77</w:t>
            </w:r>
          </w:p>
        </w:tc>
      </w:tr>
      <w:tr w:rsidR="00A1786C" w:rsidRPr="005949EB" w14:paraId="7792BB9A" w14:textId="77777777" w:rsidTr="00CE79C6">
        <w:trPr>
          <w:trHeight w:val="300"/>
        </w:trPr>
        <w:tc>
          <w:tcPr>
            <w:tcW w:w="2160" w:type="dxa"/>
            <w:tcBorders>
              <w:top w:val="nil"/>
              <w:left w:val="nil"/>
              <w:bottom w:val="nil"/>
              <w:right w:val="nil"/>
            </w:tcBorders>
            <w:shd w:val="clear" w:color="auto" w:fill="auto"/>
            <w:noWrap/>
            <w:vAlign w:val="bottom"/>
          </w:tcPr>
          <w:p w14:paraId="5F3B8C25" w14:textId="676E35D1" w:rsidR="00A1786C" w:rsidRPr="005949EB" w:rsidRDefault="00A1786C" w:rsidP="00A1786C">
            <w:pPr>
              <w:spacing w:after="0" w:line="240" w:lineRule="auto"/>
              <w:jc w:val="center"/>
              <w:rPr>
                <w:rFonts w:ascii="Calibri" w:hAnsi="Calibri" w:cs="Calibri"/>
                <w:color w:val="000000"/>
              </w:rPr>
            </w:pPr>
            <w:r>
              <w:rPr>
                <w:rFonts w:ascii="Calibri" w:hAnsi="Calibri" w:cs="Calibri"/>
                <w:color w:val="000000"/>
              </w:rPr>
              <w:t>15.50</w:t>
            </w:r>
          </w:p>
        </w:tc>
        <w:tc>
          <w:tcPr>
            <w:tcW w:w="2970" w:type="dxa"/>
            <w:tcBorders>
              <w:top w:val="nil"/>
              <w:left w:val="nil"/>
              <w:bottom w:val="nil"/>
              <w:right w:val="nil"/>
            </w:tcBorders>
            <w:shd w:val="clear" w:color="auto" w:fill="auto"/>
            <w:noWrap/>
            <w:vAlign w:val="bottom"/>
          </w:tcPr>
          <w:p w14:paraId="0A7C4AA6" w14:textId="27546076" w:rsidR="00A1786C" w:rsidRPr="005949EB" w:rsidRDefault="00A1786C" w:rsidP="00A1786C">
            <w:pPr>
              <w:spacing w:after="0" w:line="240" w:lineRule="auto"/>
              <w:jc w:val="center"/>
              <w:rPr>
                <w:rFonts w:ascii="Calibri" w:hAnsi="Calibri" w:cs="Calibri"/>
                <w:color w:val="000000"/>
              </w:rPr>
            </w:pPr>
            <w:r>
              <w:rPr>
                <w:rFonts w:ascii="Calibri" w:hAnsi="Calibri" w:cs="Calibri"/>
                <w:color w:val="000000"/>
              </w:rPr>
              <w:t>96.72</w:t>
            </w:r>
          </w:p>
        </w:tc>
        <w:tc>
          <w:tcPr>
            <w:tcW w:w="1255" w:type="dxa"/>
            <w:tcBorders>
              <w:top w:val="nil"/>
              <w:left w:val="nil"/>
              <w:bottom w:val="nil"/>
              <w:right w:val="nil"/>
            </w:tcBorders>
            <w:shd w:val="clear" w:color="auto" w:fill="auto"/>
            <w:noWrap/>
            <w:vAlign w:val="bottom"/>
          </w:tcPr>
          <w:p w14:paraId="5D4888A9" w14:textId="4955EE12" w:rsidR="00A1786C" w:rsidRPr="005949EB" w:rsidRDefault="00A1786C" w:rsidP="00A1786C">
            <w:pPr>
              <w:spacing w:after="0" w:line="240" w:lineRule="auto"/>
              <w:jc w:val="right"/>
              <w:rPr>
                <w:rFonts w:ascii="Calibri" w:hAnsi="Calibri" w:cs="Calibri"/>
                <w:color w:val="000000"/>
              </w:rPr>
            </w:pPr>
            <w:r>
              <w:rPr>
                <w:rFonts w:ascii="Calibri" w:hAnsi="Calibri" w:cs="Calibri"/>
                <w:color w:val="000000"/>
              </w:rPr>
              <w:t>0.00</w:t>
            </w:r>
          </w:p>
        </w:tc>
        <w:tc>
          <w:tcPr>
            <w:tcW w:w="990" w:type="dxa"/>
            <w:tcBorders>
              <w:top w:val="nil"/>
              <w:left w:val="nil"/>
              <w:bottom w:val="nil"/>
              <w:right w:val="nil"/>
            </w:tcBorders>
            <w:shd w:val="clear" w:color="auto" w:fill="auto"/>
            <w:noWrap/>
            <w:vAlign w:val="bottom"/>
          </w:tcPr>
          <w:p w14:paraId="42AFAABD" w14:textId="57100564" w:rsidR="00A1786C" w:rsidRPr="005949EB" w:rsidRDefault="00A1786C" w:rsidP="00A1786C">
            <w:pPr>
              <w:spacing w:after="0" w:line="240" w:lineRule="auto"/>
              <w:jc w:val="right"/>
              <w:rPr>
                <w:rFonts w:ascii="Calibri" w:hAnsi="Calibri" w:cs="Calibri"/>
                <w:color w:val="000000"/>
              </w:rPr>
            </w:pPr>
            <w:r>
              <w:rPr>
                <w:rFonts w:ascii="Calibri" w:hAnsi="Calibri" w:cs="Calibri"/>
                <w:color w:val="000000"/>
              </w:rPr>
              <w:t>63.11</w:t>
            </w:r>
          </w:p>
        </w:tc>
        <w:tc>
          <w:tcPr>
            <w:tcW w:w="1260" w:type="dxa"/>
            <w:tcBorders>
              <w:top w:val="nil"/>
              <w:left w:val="nil"/>
              <w:bottom w:val="nil"/>
              <w:right w:val="nil"/>
            </w:tcBorders>
            <w:shd w:val="clear" w:color="auto" w:fill="auto"/>
            <w:noWrap/>
            <w:vAlign w:val="bottom"/>
          </w:tcPr>
          <w:p w14:paraId="6835EB5A" w14:textId="00C8B34B" w:rsidR="00A1786C" w:rsidRPr="005949EB" w:rsidRDefault="00A1786C" w:rsidP="00A1786C">
            <w:pPr>
              <w:spacing w:after="0" w:line="240" w:lineRule="auto"/>
              <w:jc w:val="right"/>
              <w:rPr>
                <w:rFonts w:ascii="Calibri" w:hAnsi="Calibri" w:cs="Calibri"/>
                <w:color w:val="000000"/>
              </w:rPr>
            </w:pPr>
            <w:r>
              <w:rPr>
                <w:rFonts w:ascii="Calibri" w:hAnsi="Calibri" w:cs="Calibri"/>
                <w:color w:val="000000"/>
              </w:rPr>
              <w:t>132.79</w:t>
            </w:r>
          </w:p>
        </w:tc>
      </w:tr>
      <w:tr w:rsidR="00A1786C" w:rsidRPr="005949EB" w14:paraId="611FE84E" w14:textId="77777777" w:rsidTr="00CE79C6">
        <w:trPr>
          <w:trHeight w:val="300"/>
        </w:trPr>
        <w:tc>
          <w:tcPr>
            <w:tcW w:w="2160" w:type="dxa"/>
            <w:tcBorders>
              <w:top w:val="nil"/>
              <w:left w:val="nil"/>
              <w:bottom w:val="nil"/>
              <w:right w:val="nil"/>
            </w:tcBorders>
            <w:shd w:val="clear" w:color="auto" w:fill="auto"/>
            <w:noWrap/>
            <w:vAlign w:val="bottom"/>
          </w:tcPr>
          <w:p w14:paraId="2E592B41" w14:textId="47B18EE5" w:rsidR="00A1786C" w:rsidRPr="005949EB" w:rsidRDefault="00A1786C" w:rsidP="00A1786C">
            <w:pPr>
              <w:spacing w:after="0" w:line="240" w:lineRule="auto"/>
              <w:jc w:val="center"/>
              <w:rPr>
                <w:rFonts w:ascii="Calibri" w:hAnsi="Calibri" w:cs="Calibri"/>
                <w:color w:val="000000"/>
              </w:rPr>
            </w:pPr>
            <w:r>
              <w:rPr>
                <w:rFonts w:ascii="Calibri" w:hAnsi="Calibri" w:cs="Calibri"/>
                <w:color w:val="000000"/>
              </w:rPr>
              <w:t>17.00</w:t>
            </w:r>
          </w:p>
        </w:tc>
        <w:tc>
          <w:tcPr>
            <w:tcW w:w="2970" w:type="dxa"/>
            <w:tcBorders>
              <w:top w:val="nil"/>
              <w:left w:val="nil"/>
              <w:bottom w:val="nil"/>
              <w:right w:val="nil"/>
            </w:tcBorders>
            <w:shd w:val="clear" w:color="auto" w:fill="auto"/>
            <w:noWrap/>
            <w:vAlign w:val="bottom"/>
          </w:tcPr>
          <w:p w14:paraId="2DDD2359" w14:textId="4CC8AD7A" w:rsidR="00A1786C" w:rsidRPr="005949EB" w:rsidRDefault="00A1786C" w:rsidP="00A1786C">
            <w:pPr>
              <w:spacing w:after="0" w:line="240" w:lineRule="auto"/>
              <w:jc w:val="center"/>
              <w:rPr>
                <w:rFonts w:ascii="Calibri" w:hAnsi="Calibri" w:cs="Calibri"/>
                <w:color w:val="000000"/>
              </w:rPr>
            </w:pPr>
            <w:r>
              <w:rPr>
                <w:rFonts w:ascii="Calibri" w:hAnsi="Calibri" w:cs="Calibri"/>
                <w:color w:val="000000"/>
              </w:rPr>
              <w:t>100.00</w:t>
            </w:r>
          </w:p>
        </w:tc>
        <w:tc>
          <w:tcPr>
            <w:tcW w:w="1255" w:type="dxa"/>
            <w:tcBorders>
              <w:top w:val="nil"/>
              <w:left w:val="nil"/>
              <w:bottom w:val="nil"/>
              <w:right w:val="nil"/>
            </w:tcBorders>
            <w:shd w:val="clear" w:color="auto" w:fill="auto"/>
            <w:noWrap/>
            <w:vAlign w:val="bottom"/>
          </w:tcPr>
          <w:p w14:paraId="17A1D2CB" w14:textId="598F0ADA" w:rsidR="00A1786C" w:rsidRPr="005949EB" w:rsidRDefault="00A1786C" w:rsidP="00A1786C">
            <w:pPr>
              <w:spacing w:after="0" w:line="240" w:lineRule="auto"/>
              <w:jc w:val="right"/>
              <w:rPr>
                <w:rFonts w:ascii="Calibri" w:hAnsi="Calibri" w:cs="Calibri"/>
                <w:color w:val="000000"/>
              </w:rPr>
            </w:pPr>
            <w:r>
              <w:rPr>
                <w:rFonts w:ascii="Calibri" w:hAnsi="Calibri" w:cs="Calibri"/>
                <w:color w:val="000000"/>
              </w:rPr>
              <w:t>0.00</w:t>
            </w:r>
          </w:p>
        </w:tc>
        <w:tc>
          <w:tcPr>
            <w:tcW w:w="990" w:type="dxa"/>
            <w:tcBorders>
              <w:top w:val="nil"/>
              <w:left w:val="nil"/>
              <w:bottom w:val="nil"/>
              <w:right w:val="nil"/>
            </w:tcBorders>
            <w:shd w:val="clear" w:color="auto" w:fill="auto"/>
            <w:noWrap/>
            <w:vAlign w:val="bottom"/>
          </w:tcPr>
          <w:p w14:paraId="362077D5" w14:textId="1D1650B4" w:rsidR="00A1786C" w:rsidRPr="005949EB" w:rsidRDefault="00A1786C" w:rsidP="00A1786C">
            <w:pPr>
              <w:spacing w:after="0" w:line="240" w:lineRule="auto"/>
              <w:jc w:val="right"/>
              <w:rPr>
                <w:rFonts w:ascii="Calibri" w:hAnsi="Calibri" w:cs="Calibri"/>
                <w:color w:val="000000"/>
              </w:rPr>
            </w:pPr>
            <w:r>
              <w:rPr>
                <w:rFonts w:ascii="Calibri" w:hAnsi="Calibri" w:cs="Calibri"/>
                <w:color w:val="000000"/>
              </w:rPr>
              <w:t>63.11</w:t>
            </w:r>
          </w:p>
        </w:tc>
        <w:tc>
          <w:tcPr>
            <w:tcW w:w="1260" w:type="dxa"/>
            <w:tcBorders>
              <w:top w:val="nil"/>
              <w:left w:val="nil"/>
              <w:bottom w:val="nil"/>
              <w:right w:val="nil"/>
            </w:tcBorders>
            <w:shd w:val="clear" w:color="auto" w:fill="auto"/>
            <w:noWrap/>
            <w:vAlign w:val="bottom"/>
          </w:tcPr>
          <w:p w14:paraId="16A2082A" w14:textId="60B0A8E6" w:rsidR="00A1786C" w:rsidRPr="005949EB" w:rsidRDefault="00A1786C" w:rsidP="00A1786C">
            <w:pPr>
              <w:spacing w:after="0" w:line="240" w:lineRule="auto"/>
              <w:jc w:val="right"/>
              <w:rPr>
                <w:rFonts w:ascii="Calibri" w:hAnsi="Calibri" w:cs="Calibri"/>
                <w:color w:val="000000"/>
              </w:rPr>
            </w:pPr>
            <w:r>
              <w:rPr>
                <w:rFonts w:ascii="Calibri" w:hAnsi="Calibri" w:cs="Calibri"/>
                <w:color w:val="000000"/>
              </w:rPr>
              <w:t>134.43</w:t>
            </w:r>
          </w:p>
        </w:tc>
      </w:tr>
      <w:tr w:rsidR="00A1786C" w:rsidRPr="005949EB" w14:paraId="1832D8FD" w14:textId="77777777" w:rsidTr="00CE79C6">
        <w:trPr>
          <w:trHeight w:val="300"/>
        </w:trPr>
        <w:tc>
          <w:tcPr>
            <w:tcW w:w="2160" w:type="dxa"/>
            <w:tcBorders>
              <w:top w:val="nil"/>
              <w:left w:val="nil"/>
              <w:bottom w:val="nil"/>
              <w:right w:val="nil"/>
            </w:tcBorders>
            <w:shd w:val="clear" w:color="auto" w:fill="auto"/>
            <w:noWrap/>
            <w:vAlign w:val="bottom"/>
          </w:tcPr>
          <w:p w14:paraId="7C2C4299" w14:textId="17F9851C" w:rsidR="00A1786C" w:rsidRPr="005949EB" w:rsidRDefault="00A1786C" w:rsidP="00A1786C">
            <w:pPr>
              <w:spacing w:after="0" w:line="240" w:lineRule="auto"/>
              <w:jc w:val="center"/>
              <w:rPr>
                <w:rFonts w:ascii="Calibri" w:hAnsi="Calibri" w:cs="Calibri"/>
                <w:color w:val="000000"/>
              </w:rPr>
            </w:pPr>
            <w:r>
              <w:rPr>
                <w:rFonts w:ascii="Calibri" w:hAnsi="Calibri" w:cs="Calibri"/>
                <w:color w:val="000000"/>
              </w:rPr>
              <w:t>18.50</w:t>
            </w:r>
          </w:p>
        </w:tc>
        <w:tc>
          <w:tcPr>
            <w:tcW w:w="2970" w:type="dxa"/>
            <w:tcBorders>
              <w:top w:val="nil"/>
              <w:left w:val="nil"/>
              <w:bottom w:val="nil"/>
              <w:right w:val="nil"/>
            </w:tcBorders>
            <w:shd w:val="clear" w:color="auto" w:fill="auto"/>
            <w:noWrap/>
            <w:vAlign w:val="bottom"/>
          </w:tcPr>
          <w:p w14:paraId="4903DC65" w14:textId="36787A74" w:rsidR="00A1786C" w:rsidRPr="005949EB" w:rsidRDefault="00A1786C" w:rsidP="00A1786C">
            <w:pPr>
              <w:spacing w:after="0" w:line="240" w:lineRule="auto"/>
              <w:jc w:val="center"/>
              <w:rPr>
                <w:rFonts w:ascii="Calibri" w:hAnsi="Calibri" w:cs="Calibri"/>
                <w:color w:val="000000"/>
              </w:rPr>
            </w:pPr>
            <w:r>
              <w:rPr>
                <w:rFonts w:ascii="Calibri" w:hAnsi="Calibri" w:cs="Calibri"/>
                <w:color w:val="000000"/>
              </w:rPr>
              <w:t>94.26</w:t>
            </w:r>
          </w:p>
        </w:tc>
        <w:tc>
          <w:tcPr>
            <w:tcW w:w="1255" w:type="dxa"/>
            <w:tcBorders>
              <w:top w:val="nil"/>
              <w:left w:val="nil"/>
              <w:bottom w:val="nil"/>
              <w:right w:val="nil"/>
            </w:tcBorders>
            <w:shd w:val="clear" w:color="auto" w:fill="auto"/>
            <w:noWrap/>
            <w:vAlign w:val="bottom"/>
          </w:tcPr>
          <w:p w14:paraId="342AEF6D" w14:textId="31C335B5" w:rsidR="00A1786C" w:rsidRPr="005949EB" w:rsidRDefault="00A1786C" w:rsidP="00A1786C">
            <w:pPr>
              <w:spacing w:after="0" w:line="240" w:lineRule="auto"/>
              <w:jc w:val="right"/>
              <w:rPr>
                <w:rFonts w:ascii="Calibri" w:hAnsi="Calibri" w:cs="Calibri"/>
                <w:color w:val="000000"/>
              </w:rPr>
            </w:pPr>
            <w:r>
              <w:rPr>
                <w:rFonts w:ascii="Calibri" w:hAnsi="Calibri" w:cs="Calibri"/>
                <w:color w:val="000000"/>
              </w:rPr>
              <w:t>0.00</w:t>
            </w:r>
          </w:p>
        </w:tc>
        <w:tc>
          <w:tcPr>
            <w:tcW w:w="990" w:type="dxa"/>
            <w:tcBorders>
              <w:top w:val="nil"/>
              <w:left w:val="nil"/>
              <w:bottom w:val="nil"/>
              <w:right w:val="nil"/>
            </w:tcBorders>
            <w:shd w:val="clear" w:color="auto" w:fill="auto"/>
            <w:noWrap/>
            <w:vAlign w:val="bottom"/>
          </w:tcPr>
          <w:p w14:paraId="6E2FEF2D" w14:textId="21164123" w:rsidR="00A1786C" w:rsidRPr="005949EB" w:rsidRDefault="00A1786C" w:rsidP="00A1786C">
            <w:pPr>
              <w:spacing w:after="0" w:line="240" w:lineRule="auto"/>
              <w:jc w:val="right"/>
              <w:rPr>
                <w:rFonts w:ascii="Calibri" w:hAnsi="Calibri" w:cs="Calibri"/>
                <w:color w:val="000000"/>
              </w:rPr>
            </w:pPr>
            <w:r>
              <w:rPr>
                <w:rFonts w:ascii="Calibri" w:hAnsi="Calibri" w:cs="Calibri"/>
                <w:color w:val="000000"/>
              </w:rPr>
              <w:t>58.20</w:t>
            </w:r>
          </w:p>
        </w:tc>
        <w:tc>
          <w:tcPr>
            <w:tcW w:w="1260" w:type="dxa"/>
            <w:tcBorders>
              <w:top w:val="nil"/>
              <w:left w:val="nil"/>
              <w:bottom w:val="nil"/>
              <w:right w:val="nil"/>
            </w:tcBorders>
            <w:shd w:val="clear" w:color="auto" w:fill="auto"/>
            <w:noWrap/>
            <w:vAlign w:val="bottom"/>
          </w:tcPr>
          <w:p w14:paraId="3FF79599" w14:textId="04A73DB2" w:rsidR="00A1786C" w:rsidRPr="005949EB" w:rsidRDefault="00A1786C" w:rsidP="00A1786C">
            <w:pPr>
              <w:spacing w:after="0" w:line="240" w:lineRule="auto"/>
              <w:jc w:val="right"/>
              <w:rPr>
                <w:rFonts w:ascii="Calibri" w:hAnsi="Calibri" w:cs="Calibri"/>
                <w:color w:val="000000"/>
              </w:rPr>
            </w:pPr>
            <w:r>
              <w:rPr>
                <w:rFonts w:ascii="Calibri" w:hAnsi="Calibri" w:cs="Calibri"/>
                <w:color w:val="000000"/>
              </w:rPr>
              <w:t>134.43</w:t>
            </w:r>
          </w:p>
        </w:tc>
      </w:tr>
      <w:tr w:rsidR="00A1786C" w:rsidRPr="005949EB" w14:paraId="45A584EE" w14:textId="77777777" w:rsidTr="00CE79C6">
        <w:trPr>
          <w:trHeight w:val="300"/>
        </w:trPr>
        <w:tc>
          <w:tcPr>
            <w:tcW w:w="2160" w:type="dxa"/>
            <w:tcBorders>
              <w:top w:val="nil"/>
              <w:left w:val="nil"/>
              <w:bottom w:val="nil"/>
              <w:right w:val="nil"/>
            </w:tcBorders>
            <w:shd w:val="clear" w:color="auto" w:fill="auto"/>
            <w:noWrap/>
            <w:vAlign w:val="bottom"/>
          </w:tcPr>
          <w:p w14:paraId="005080D3" w14:textId="2CD09C6B" w:rsidR="00A1786C" w:rsidRDefault="00A1786C" w:rsidP="00A1786C">
            <w:pPr>
              <w:spacing w:after="0" w:line="240" w:lineRule="auto"/>
              <w:jc w:val="center"/>
              <w:rPr>
                <w:rFonts w:ascii="Calibri" w:hAnsi="Calibri" w:cs="Calibri"/>
                <w:color w:val="000000"/>
              </w:rPr>
            </w:pPr>
            <w:r>
              <w:rPr>
                <w:rFonts w:ascii="Calibri" w:hAnsi="Calibri" w:cs="Calibri"/>
                <w:color w:val="000000"/>
              </w:rPr>
              <w:t>23.00</w:t>
            </w:r>
          </w:p>
        </w:tc>
        <w:tc>
          <w:tcPr>
            <w:tcW w:w="2970" w:type="dxa"/>
            <w:tcBorders>
              <w:top w:val="nil"/>
              <w:left w:val="nil"/>
              <w:bottom w:val="nil"/>
              <w:right w:val="nil"/>
            </w:tcBorders>
            <w:shd w:val="clear" w:color="auto" w:fill="auto"/>
            <w:noWrap/>
            <w:vAlign w:val="bottom"/>
          </w:tcPr>
          <w:p w14:paraId="2B6AC6D1" w14:textId="558D4943" w:rsidR="00A1786C" w:rsidRDefault="00A1786C" w:rsidP="00A1786C">
            <w:pPr>
              <w:spacing w:after="0" w:line="240" w:lineRule="auto"/>
              <w:jc w:val="center"/>
              <w:rPr>
                <w:rFonts w:ascii="Calibri" w:hAnsi="Calibri" w:cs="Calibri"/>
                <w:color w:val="000000"/>
              </w:rPr>
            </w:pPr>
            <w:r>
              <w:rPr>
                <w:rFonts w:ascii="Calibri" w:hAnsi="Calibri" w:cs="Calibri"/>
                <w:color w:val="000000"/>
              </w:rPr>
              <w:t>0.00</w:t>
            </w:r>
          </w:p>
        </w:tc>
        <w:tc>
          <w:tcPr>
            <w:tcW w:w="1255" w:type="dxa"/>
            <w:tcBorders>
              <w:top w:val="nil"/>
              <w:left w:val="nil"/>
              <w:bottom w:val="nil"/>
              <w:right w:val="nil"/>
            </w:tcBorders>
            <w:shd w:val="clear" w:color="auto" w:fill="auto"/>
            <w:noWrap/>
            <w:vAlign w:val="bottom"/>
          </w:tcPr>
          <w:p w14:paraId="3A5A0131" w14:textId="7564DFD0" w:rsidR="00A1786C" w:rsidRDefault="00A1786C" w:rsidP="00A1786C">
            <w:pPr>
              <w:spacing w:after="0" w:line="240" w:lineRule="auto"/>
              <w:jc w:val="right"/>
              <w:rPr>
                <w:rFonts w:ascii="Calibri" w:hAnsi="Calibri" w:cs="Calibri"/>
                <w:color w:val="000000"/>
              </w:rPr>
            </w:pPr>
            <w:r>
              <w:rPr>
                <w:rFonts w:ascii="Calibri" w:hAnsi="Calibri" w:cs="Calibri"/>
                <w:color w:val="000000"/>
              </w:rPr>
              <w:t>0.00</w:t>
            </w:r>
          </w:p>
        </w:tc>
        <w:tc>
          <w:tcPr>
            <w:tcW w:w="990" w:type="dxa"/>
            <w:tcBorders>
              <w:top w:val="nil"/>
              <w:left w:val="nil"/>
              <w:bottom w:val="nil"/>
              <w:right w:val="nil"/>
            </w:tcBorders>
            <w:shd w:val="clear" w:color="auto" w:fill="auto"/>
            <w:noWrap/>
            <w:vAlign w:val="bottom"/>
          </w:tcPr>
          <w:p w14:paraId="29EC7EAF" w14:textId="0D31B52E" w:rsidR="00A1786C" w:rsidRDefault="00A1786C" w:rsidP="00A1786C">
            <w:pPr>
              <w:spacing w:after="0" w:line="240" w:lineRule="auto"/>
              <w:jc w:val="right"/>
              <w:rPr>
                <w:rFonts w:ascii="Calibri" w:hAnsi="Calibri" w:cs="Calibri"/>
                <w:color w:val="000000"/>
              </w:rPr>
            </w:pPr>
            <w:r>
              <w:rPr>
                <w:rFonts w:ascii="Calibri" w:hAnsi="Calibri" w:cs="Calibri"/>
                <w:color w:val="000000"/>
              </w:rPr>
              <w:t>0.00</w:t>
            </w:r>
          </w:p>
        </w:tc>
        <w:tc>
          <w:tcPr>
            <w:tcW w:w="1260" w:type="dxa"/>
            <w:tcBorders>
              <w:top w:val="nil"/>
              <w:left w:val="nil"/>
              <w:bottom w:val="nil"/>
              <w:right w:val="nil"/>
            </w:tcBorders>
            <w:shd w:val="clear" w:color="auto" w:fill="auto"/>
            <w:noWrap/>
            <w:vAlign w:val="bottom"/>
          </w:tcPr>
          <w:p w14:paraId="70C4B6CB" w14:textId="73563903" w:rsidR="00A1786C" w:rsidRDefault="00A1786C" w:rsidP="00A1786C">
            <w:pPr>
              <w:spacing w:after="0" w:line="240" w:lineRule="auto"/>
              <w:jc w:val="right"/>
              <w:rPr>
                <w:rFonts w:ascii="Calibri" w:hAnsi="Calibri" w:cs="Calibri"/>
                <w:color w:val="000000"/>
              </w:rPr>
            </w:pPr>
            <w:r>
              <w:rPr>
                <w:rFonts w:ascii="Calibri" w:hAnsi="Calibri" w:cs="Calibri"/>
                <w:color w:val="000000"/>
              </w:rPr>
              <w:t>0.00</w:t>
            </w:r>
          </w:p>
        </w:tc>
      </w:tr>
      <w:tr w:rsidR="00A1786C" w:rsidRPr="005949EB" w14:paraId="187C4709" w14:textId="77777777" w:rsidTr="00CE79C6">
        <w:trPr>
          <w:trHeight w:val="300"/>
        </w:trPr>
        <w:tc>
          <w:tcPr>
            <w:tcW w:w="2160" w:type="dxa"/>
            <w:tcBorders>
              <w:top w:val="nil"/>
              <w:left w:val="nil"/>
              <w:bottom w:val="nil"/>
              <w:right w:val="nil"/>
            </w:tcBorders>
            <w:shd w:val="clear" w:color="auto" w:fill="auto"/>
            <w:noWrap/>
            <w:vAlign w:val="bottom"/>
          </w:tcPr>
          <w:p w14:paraId="79E9699C" w14:textId="4B602C40" w:rsidR="00A1786C" w:rsidRDefault="00A1786C" w:rsidP="00A1786C">
            <w:pPr>
              <w:spacing w:after="0" w:line="240" w:lineRule="auto"/>
              <w:jc w:val="center"/>
              <w:rPr>
                <w:rFonts w:ascii="Calibri" w:hAnsi="Calibri" w:cs="Calibri"/>
                <w:color w:val="000000"/>
              </w:rPr>
            </w:pPr>
            <w:r>
              <w:rPr>
                <w:rFonts w:ascii="Calibri" w:hAnsi="Calibri" w:cs="Calibri"/>
                <w:color w:val="000000"/>
              </w:rPr>
              <w:t>24.00</w:t>
            </w:r>
          </w:p>
        </w:tc>
        <w:tc>
          <w:tcPr>
            <w:tcW w:w="2970" w:type="dxa"/>
            <w:tcBorders>
              <w:top w:val="nil"/>
              <w:left w:val="nil"/>
              <w:bottom w:val="nil"/>
              <w:right w:val="nil"/>
            </w:tcBorders>
            <w:shd w:val="clear" w:color="auto" w:fill="auto"/>
            <w:noWrap/>
            <w:vAlign w:val="bottom"/>
          </w:tcPr>
          <w:p w14:paraId="0A858CFF" w14:textId="4C65E139" w:rsidR="00A1786C" w:rsidRDefault="00A1786C" w:rsidP="00A1786C">
            <w:pPr>
              <w:spacing w:after="0" w:line="240" w:lineRule="auto"/>
              <w:jc w:val="center"/>
              <w:rPr>
                <w:rFonts w:ascii="Calibri" w:hAnsi="Calibri" w:cs="Calibri"/>
                <w:color w:val="000000"/>
              </w:rPr>
            </w:pPr>
            <w:r>
              <w:rPr>
                <w:rFonts w:ascii="Calibri" w:hAnsi="Calibri" w:cs="Calibri"/>
                <w:color w:val="000000"/>
              </w:rPr>
              <w:t>0.00</w:t>
            </w:r>
          </w:p>
        </w:tc>
        <w:tc>
          <w:tcPr>
            <w:tcW w:w="1255" w:type="dxa"/>
            <w:tcBorders>
              <w:top w:val="nil"/>
              <w:left w:val="nil"/>
              <w:bottom w:val="nil"/>
              <w:right w:val="nil"/>
            </w:tcBorders>
            <w:shd w:val="clear" w:color="auto" w:fill="auto"/>
            <w:noWrap/>
            <w:vAlign w:val="bottom"/>
          </w:tcPr>
          <w:p w14:paraId="407EC7E9" w14:textId="2A564845" w:rsidR="00A1786C" w:rsidRDefault="00A1786C" w:rsidP="00A1786C">
            <w:pPr>
              <w:spacing w:after="0" w:line="240" w:lineRule="auto"/>
              <w:jc w:val="right"/>
              <w:rPr>
                <w:rFonts w:ascii="Calibri" w:hAnsi="Calibri" w:cs="Calibri"/>
                <w:color w:val="000000"/>
              </w:rPr>
            </w:pPr>
            <w:r>
              <w:rPr>
                <w:rFonts w:ascii="Calibri" w:hAnsi="Calibri" w:cs="Calibri"/>
                <w:color w:val="000000"/>
              </w:rPr>
              <w:t>0.00</w:t>
            </w:r>
          </w:p>
        </w:tc>
        <w:tc>
          <w:tcPr>
            <w:tcW w:w="990" w:type="dxa"/>
            <w:tcBorders>
              <w:top w:val="nil"/>
              <w:left w:val="nil"/>
              <w:bottom w:val="nil"/>
              <w:right w:val="nil"/>
            </w:tcBorders>
            <w:shd w:val="clear" w:color="auto" w:fill="auto"/>
            <w:noWrap/>
            <w:vAlign w:val="bottom"/>
          </w:tcPr>
          <w:p w14:paraId="5AC8151A" w14:textId="0A8EC5E2" w:rsidR="00A1786C" w:rsidRDefault="00A1786C" w:rsidP="00A1786C">
            <w:pPr>
              <w:spacing w:after="0" w:line="240" w:lineRule="auto"/>
              <w:jc w:val="right"/>
              <w:rPr>
                <w:rFonts w:ascii="Calibri" w:hAnsi="Calibri" w:cs="Calibri"/>
                <w:color w:val="000000"/>
              </w:rPr>
            </w:pPr>
            <w:r>
              <w:rPr>
                <w:rFonts w:ascii="Calibri" w:hAnsi="Calibri" w:cs="Calibri"/>
                <w:color w:val="000000"/>
              </w:rPr>
              <w:t>0.00</w:t>
            </w:r>
          </w:p>
        </w:tc>
        <w:tc>
          <w:tcPr>
            <w:tcW w:w="1260" w:type="dxa"/>
            <w:tcBorders>
              <w:top w:val="nil"/>
              <w:left w:val="nil"/>
              <w:bottom w:val="nil"/>
              <w:right w:val="nil"/>
            </w:tcBorders>
            <w:shd w:val="clear" w:color="auto" w:fill="auto"/>
            <w:noWrap/>
            <w:vAlign w:val="bottom"/>
          </w:tcPr>
          <w:p w14:paraId="48DE7005" w14:textId="1051429F" w:rsidR="00A1786C" w:rsidRDefault="00A1786C" w:rsidP="00A1786C">
            <w:pPr>
              <w:spacing w:after="0" w:line="240" w:lineRule="auto"/>
              <w:jc w:val="right"/>
              <w:rPr>
                <w:rFonts w:ascii="Calibri" w:hAnsi="Calibri" w:cs="Calibri"/>
                <w:color w:val="000000"/>
              </w:rPr>
            </w:pPr>
            <w:r>
              <w:rPr>
                <w:rFonts w:ascii="Calibri" w:hAnsi="Calibri" w:cs="Calibri"/>
                <w:color w:val="000000"/>
              </w:rPr>
              <w:t>0.00</w:t>
            </w:r>
          </w:p>
        </w:tc>
      </w:tr>
      <w:tr w:rsidR="00A1786C" w:rsidRPr="005949EB" w14:paraId="511F7E8B" w14:textId="77777777" w:rsidTr="00CE79C6">
        <w:trPr>
          <w:trHeight w:val="300"/>
        </w:trPr>
        <w:tc>
          <w:tcPr>
            <w:tcW w:w="2160" w:type="dxa"/>
            <w:tcBorders>
              <w:top w:val="nil"/>
              <w:left w:val="nil"/>
              <w:bottom w:val="nil"/>
              <w:right w:val="nil"/>
            </w:tcBorders>
            <w:shd w:val="clear" w:color="auto" w:fill="auto"/>
            <w:noWrap/>
            <w:vAlign w:val="bottom"/>
          </w:tcPr>
          <w:p w14:paraId="72BDE83A" w14:textId="303BB0A5" w:rsidR="00A1786C" w:rsidRDefault="00A1786C" w:rsidP="00A1786C">
            <w:pPr>
              <w:spacing w:after="0" w:line="240" w:lineRule="auto"/>
              <w:jc w:val="center"/>
              <w:rPr>
                <w:rFonts w:ascii="Calibri" w:hAnsi="Calibri" w:cs="Calibri"/>
                <w:color w:val="000000"/>
              </w:rPr>
            </w:pPr>
            <w:r>
              <w:rPr>
                <w:rFonts w:ascii="Calibri" w:hAnsi="Calibri" w:cs="Calibri"/>
                <w:color w:val="000000"/>
              </w:rPr>
              <w:t>0.00</w:t>
            </w:r>
          </w:p>
        </w:tc>
        <w:tc>
          <w:tcPr>
            <w:tcW w:w="2970" w:type="dxa"/>
            <w:tcBorders>
              <w:top w:val="nil"/>
              <w:left w:val="nil"/>
              <w:bottom w:val="nil"/>
              <w:right w:val="nil"/>
            </w:tcBorders>
            <w:shd w:val="clear" w:color="auto" w:fill="auto"/>
            <w:noWrap/>
            <w:vAlign w:val="bottom"/>
          </w:tcPr>
          <w:p w14:paraId="7A82EF9B" w14:textId="4ADAE80D" w:rsidR="00A1786C" w:rsidRDefault="00A1786C" w:rsidP="00A1786C">
            <w:pPr>
              <w:spacing w:after="0" w:line="240" w:lineRule="auto"/>
              <w:jc w:val="center"/>
              <w:rPr>
                <w:rFonts w:ascii="Calibri" w:hAnsi="Calibri" w:cs="Calibri"/>
                <w:color w:val="000000"/>
              </w:rPr>
            </w:pPr>
            <w:r>
              <w:rPr>
                <w:rFonts w:ascii="Calibri" w:hAnsi="Calibri" w:cs="Calibri"/>
                <w:color w:val="000000"/>
              </w:rPr>
              <w:t>0.00</w:t>
            </w:r>
          </w:p>
        </w:tc>
        <w:tc>
          <w:tcPr>
            <w:tcW w:w="1255" w:type="dxa"/>
            <w:tcBorders>
              <w:top w:val="nil"/>
              <w:left w:val="nil"/>
              <w:bottom w:val="nil"/>
              <w:right w:val="nil"/>
            </w:tcBorders>
            <w:shd w:val="clear" w:color="auto" w:fill="auto"/>
            <w:noWrap/>
            <w:vAlign w:val="bottom"/>
          </w:tcPr>
          <w:p w14:paraId="0C2EF4F0" w14:textId="72754A17" w:rsidR="00A1786C" w:rsidRDefault="00A1786C" w:rsidP="00A1786C">
            <w:pPr>
              <w:spacing w:after="0" w:line="240" w:lineRule="auto"/>
              <w:jc w:val="right"/>
              <w:rPr>
                <w:rFonts w:ascii="Calibri" w:hAnsi="Calibri" w:cs="Calibri"/>
                <w:color w:val="000000"/>
              </w:rPr>
            </w:pPr>
            <w:r>
              <w:rPr>
                <w:rFonts w:ascii="Calibri" w:hAnsi="Calibri" w:cs="Calibri"/>
                <w:color w:val="000000"/>
              </w:rPr>
              <w:t>0.00</w:t>
            </w:r>
          </w:p>
        </w:tc>
        <w:tc>
          <w:tcPr>
            <w:tcW w:w="990" w:type="dxa"/>
            <w:tcBorders>
              <w:top w:val="nil"/>
              <w:left w:val="nil"/>
              <w:bottom w:val="nil"/>
              <w:right w:val="nil"/>
            </w:tcBorders>
            <w:shd w:val="clear" w:color="auto" w:fill="auto"/>
            <w:noWrap/>
            <w:vAlign w:val="bottom"/>
          </w:tcPr>
          <w:p w14:paraId="007756C2" w14:textId="0D9E19AB" w:rsidR="00A1786C" w:rsidRDefault="00A1786C" w:rsidP="00A1786C">
            <w:pPr>
              <w:spacing w:after="0" w:line="240" w:lineRule="auto"/>
              <w:jc w:val="right"/>
              <w:rPr>
                <w:rFonts w:ascii="Calibri" w:hAnsi="Calibri" w:cs="Calibri"/>
                <w:color w:val="000000"/>
              </w:rPr>
            </w:pPr>
            <w:r>
              <w:rPr>
                <w:rFonts w:ascii="Calibri" w:hAnsi="Calibri" w:cs="Calibri"/>
                <w:color w:val="000000"/>
              </w:rPr>
              <w:t>0.00</w:t>
            </w:r>
          </w:p>
        </w:tc>
        <w:tc>
          <w:tcPr>
            <w:tcW w:w="1260" w:type="dxa"/>
            <w:tcBorders>
              <w:top w:val="nil"/>
              <w:left w:val="nil"/>
              <w:bottom w:val="nil"/>
              <w:right w:val="nil"/>
            </w:tcBorders>
            <w:shd w:val="clear" w:color="auto" w:fill="auto"/>
            <w:noWrap/>
            <w:vAlign w:val="bottom"/>
          </w:tcPr>
          <w:p w14:paraId="7D481376" w14:textId="3757BA02" w:rsidR="00A1786C" w:rsidRDefault="00A1786C" w:rsidP="00A1786C">
            <w:pPr>
              <w:spacing w:after="0" w:line="240" w:lineRule="auto"/>
              <w:jc w:val="right"/>
              <w:rPr>
                <w:rFonts w:ascii="Calibri" w:hAnsi="Calibri" w:cs="Calibri"/>
                <w:color w:val="000000"/>
              </w:rPr>
            </w:pPr>
            <w:r>
              <w:rPr>
                <w:rFonts w:ascii="Calibri" w:hAnsi="Calibri" w:cs="Calibri"/>
                <w:color w:val="000000"/>
              </w:rPr>
              <w:t>0.00</w:t>
            </w:r>
          </w:p>
        </w:tc>
      </w:tr>
    </w:tbl>
    <w:p w14:paraId="1D40A60C" w14:textId="1CF84FE2" w:rsidR="007F1850" w:rsidRPr="005949EB" w:rsidRDefault="007F1850">
      <w:pPr>
        <w:rPr>
          <w:rFonts w:ascii="Open Sans SemiBold" w:eastAsiaTheme="majorEastAsia" w:hAnsi="Open Sans SemiBold" w:cs="Open Sans SemiBold"/>
          <w:color w:val="004848"/>
          <w:sz w:val="32"/>
          <w:szCs w:val="32"/>
        </w:rPr>
      </w:pPr>
    </w:p>
    <w:p w14:paraId="21A3D5B5" w14:textId="66CB386D" w:rsidR="00546741" w:rsidRPr="005949EB" w:rsidRDefault="00546741" w:rsidP="00945E99">
      <w:pPr>
        <w:pStyle w:val="Heading1"/>
        <w:spacing w:before="0" w:line="240" w:lineRule="auto"/>
        <w:rPr>
          <w:rFonts w:ascii="Open Sans SemiBold" w:hAnsi="Open Sans SemiBold" w:cs="Open Sans SemiBold"/>
          <w:color w:val="004848"/>
        </w:rPr>
      </w:pPr>
      <w:r w:rsidRPr="005949EB">
        <w:rPr>
          <w:rFonts w:ascii="Open Sans SemiBold" w:hAnsi="Open Sans SemiBold" w:cs="Open Sans SemiBold"/>
          <w:color w:val="004848"/>
        </w:rPr>
        <w:t xml:space="preserve">SR </w:t>
      </w:r>
      <w:r w:rsidR="006D6A89" w:rsidRPr="005949EB">
        <w:rPr>
          <w:rFonts w:ascii="Open Sans SemiBold" w:hAnsi="Open Sans SemiBold" w:cs="Open Sans SemiBold"/>
          <w:color w:val="004848"/>
        </w:rPr>
        <w:t>Function</w:t>
      </w:r>
      <w:r w:rsidRPr="005949EB">
        <w:rPr>
          <w:rFonts w:ascii="Open Sans SemiBold" w:hAnsi="Open Sans SemiBold" w:cs="Open Sans SemiBold"/>
          <w:color w:val="004848"/>
        </w:rPr>
        <w:t xml:space="preserve"> Confidence and Sources of Uncertainty</w:t>
      </w:r>
    </w:p>
    <w:p w14:paraId="019400C9" w14:textId="77777777" w:rsidR="00716D97" w:rsidRPr="005949EB" w:rsidRDefault="00716D97" w:rsidP="00716D97">
      <w:pPr>
        <w:jc w:val="both"/>
        <w:rPr>
          <w:rFonts w:ascii="Open Sans" w:hAnsi="Open Sans" w:cs="Open Sans"/>
        </w:rPr>
      </w:pPr>
      <w:r>
        <w:rPr>
          <w:rFonts w:ascii="Open Sans" w:hAnsi="Open Sans" w:cs="Open Sans"/>
        </w:rPr>
        <w:t xml:space="preserve">The uncertainty assessment below is based on our evaluation of the available data and level of confidence in the derived function. </w:t>
      </w:r>
      <w:r w:rsidRPr="005949EB">
        <w:rPr>
          <w:rFonts w:ascii="Open Sans" w:hAnsi="Open Sans" w:cs="Open Sans"/>
        </w:rPr>
        <w:t xml:space="preserve">These rankings should be reassessed if additional information </w:t>
      </w:r>
      <w:r>
        <w:rPr>
          <w:rFonts w:ascii="Open Sans" w:hAnsi="Open Sans" w:cs="Open Sans"/>
        </w:rPr>
        <w:t>becomes</w:t>
      </w:r>
      <w:r w:rsidRPr="005949EB">
        <w:rPr>
          <w:rFonts w:ascii="Open Sans" w:hAnsi="Open Sans" w:cs="Open Sans"/>
        </w:rPr>
        <w:t xml:space="preserve"> available.  </w:t>
      </w:r>
    </w:p>
    <w:tbl>
      <w:tblPr>
        <w:tblStyle w:val="TableGrid1"/>
        <w:tblW w:w="972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790"/>
        <w:gridCol w:w="2340"/>
        <w:gridCol w:w="2250"/>
        <w:gridCol w:w="2340"/>
      </w:tblGrid>
      <w:tr w:rsidR="0042249B" w:rsidRPr="005949EB" w14:paraId="71AE62DE" w14:textId="77777777" w:rsidTr="00831C16">
        <w:trPr>
          <w:trHeight w:val="300"/>
        </w:trPr>
        <w:tc>
          <w:tcPr>
            <w:tcW w:w="2790" w:type="dxa"/>
          </w:tcPr>
          <w:p w14:paraId="25DBB21B" w14:textId="77777777" w:rsidR="0042249B" w:rsidRPr="005949EB" w:rsidRDefault="0042249B" w:rsidP="001B11AE">
            <w:pPr>
              <w:rPr>
                <w:rFonts w:asciiTheme="majorHAnsi" w:eastAsiaTheme="majorEastAsia" w:hAnsiTheme="majorHAnsi" w:cstheme="majorHAnsi"/>
                <w:color w:val="2F5496" w:themeColor="accent1" w:themeShade="BF"/>
                <w:kern w:val="0"/>
                <w:sz w:val="28"/>
                <w:szCs w:val="28"/>
                <w14:ligatures w14:val="none"/>
              </w:rPr>
            </w:pPr>
          </w:p>
        </w:tc>
        <w:tc>
          <w:tcPr>
            <w:tcW w:w="2340" w:type="dxa"/>
            <w:shd w:val="clear" w:color="auto" w:fill="FFBDBD"/>
          </w:tcPr>
          <w:p w14:paraId="29A04277" w14:textId="77777777" w:rsidR="0042249B" w:rsidRPr="005949EB" w:rsidRDefault="0042249B" w:rsidP="00B524E1">
            <w:pPr>
              <w:jc w:val="center"/>
              <w:rPr>
                <w:rFonts w:ascii="Open Sans" w:hAnsi="Open Sans" w:cs="Open Sans"/>
                <w:b/>
                <w:bCs/>
                <w:color w:val="2F5496" w:themeColor="accent1" w:themeShade="BF"/>
                <w:sz w:val="28"/>
                <w:szCs w:val="28"/>
              </w:rPr>
            </w:pPr>
            <w:r w:rsidRPr="005949EB">
              <w:rPr>
                <w:rFonts w:ascii="Open Sans" w:hAnsi="Open Sans" w:cs="Open Sans"/>
                <w:b/>
                <w:bCs/>
                <w:color w:val="2F5496" w:themeColor="accent1" w:themeShade="BF"/>
                <w:sz w:val="28"/>
                <w:szCs w:val="28"/>
              </w:rPr>
              <w:t>Low Confidence</w:t>
            </w:r>
          </w:p>
        </w:tc>
        <w:tc>
          <w:tcPr>
            <w:tcW w:w="2250" w:type="dxa"/>
            <w:shd w:val="clear" w:color="auto" w:fill="FFE599" w:themeFill="accent4" w:themeFillTint="66"/>
          </w:tcPr>
          <w:p w14:paraId="0422954B" w14:textId="77777777" w:rsidR="0042249B" w:rsidRPr="005949EB" w:rsidRDefault="0042249B" w:rsidP="00B524E1">
            <w:pPr>
              <w:jc w:val="center"/>
              <w:rPr>
                <w:rFonts w:ascii="Open Sans" w:hAnsi="Open Sans" w:cs="Open Sans"/>
                <w:b/>
                <w:bCs/>
                <w:color w:val="2F5496" w:themeColor="accent1" w:themeShade="BF"/>
                <w:sz w:val="28"/>
                <w:szCs w:val="28"/>
              </w:rPr>
            </w:pPr>
            <w:r w:rsidRPr="005949EB">
              <w:rPr>
                <w:rFonts w:ascii="Open Sans" w:hAnsi="Open Sans" w:cs="Open Sans"/>
                <w:b/>
                <w:bCs/>
                <w:color w:val="2F5496" w:themeColor="accent1" w:themeShade="BF"/>
                <w:sz w:val="28"/>
                <w:szCs w:val="28"/>
              </w:rPr>
              <w:t>Moderate Confidence</w:t>
            </w:r>
          </w:p>
        </w:tc>
        <w:tc>
          <w:tcPr>
            <w:tcW w:w="2340" w:type="dxa"/>
            <w:shd w:val="clear" w:color="auto" w:fill="C5E0B3" w:themeFill="accent6" w:themeFillTint="66"/>
          </w:tcPr>
          <w:p w14:paraId="3DC60B5A" w14:textId="77777777" w:rsidR="0042249B" w:rsidRPr="005949EB" w:rsidRDefault="0042249B" w:rsidP="00B524E1">
            <w:pPr>
              <w:jc w:val="center"/>
              <w:rPr>
                <w:rFonts w:ascii="Open Sans" w:hAnsi="Open Sans" w:cs="Open Sans"/>
                <w:b/>
                <w:bCs/>
                <w:color w:val="2F5496" w:themeColor="accent1" w:themeShade="BF"/>
                <w:sz w:val="28"/>
                <w:szCs w:val="28"/>
              </w:rPr>
            </w:pPr>
            <w:r w:rsidRPr="005949EB">
              <w:rPr>
                <w:rFonts w:ascii="Open Sans" w:hAnsi="Open Sans" w:cs="Open Sans"/>
                <w:b/>
                <w:bCs/>
                <w:color w:val="2F5496" w:themeColor="accent1" w:themeShade="BF"/>
                <w:sz w:val="28"/>
                <w:szCs w:val="28"/>
              </w:rPr>
              <w:t>High Confidence</w:t>
            </w:r>
          </w:p>
        </w:tc>
      </w:tr>
      <w:tr w:rsidR="0042249B" w:rsidRPr="005949EB" w14:paraId="7774E253" w14:textId="77777777" w:rsidTr="00831C16">
        <w:trPr>
          <w:trHeight w:val="300"/>
        </w:trPr>
        <w:tc>
          <w:tcPr>
            <w:tcW w:w="2790" w:type="dxa"/>
          </w:tcPr>
          <w:p w14:paraId="78087AFA" w14:textId="0975B1C0" w:rsidR="0042249B" w:rsidRPr="005949EB" w:rsidRDefault="0042249B" w:rsidP="001B11AE">
            <w:pPr>
              <w:spacing w:line="259" w:lineRule="auto"/>
              <w:rPr>
                <w:rFonts w:ascii="Open Sans" w:eastAsiaTheme="majorEastAsia" w:hAnsi="Open Sans" w:cs="Open Sans"/>
                <w:b/>
                <w:bCs/>
                <w:color w:val="2F5496" w:themeColor="accent1" w:themeShade="BF"/>
                <w:sz w:val="28"/>
                <w:szCs w:val="28"/>
              </w:rPr>
            </w:pPr>
            <w:r w:rsidRPr="005949EB">
              <w:rPr>
                <w:rFonts w:ascii="Open Sans" w:eastAsiaTheme="majorEastAsia" w:hAnsi="Open Sans" w:cs="Open Sans"/>
                <w:b/>
                <w:bCs/>
                <w:color w:val="2F5496" w:themeColor="accent1" w:themeShade="BF"/>
                <w:sz w:val="28"/>
                <w:szCs w:val="28"/>
              </w:rPr>
              <w:t>Data Source for SR Function</w:t>
            </w:r>
          </w:p>
        </w:tc>
        <w:tc>
          <w:tcPr>
            <w:tcW w:w="2340" w:type="dxa"/>
            <w:shd w:val="clear" w:color="auto" w:fill="FFBDBD"/>
          </w:tcPr>
          <w:p w14:paraId="47E75894" w14:textId="0FB862E3" w:rsidR="0042249B" w:rsidRPr="005949EB" w:rsidRDefault="0042249B" w:rsidP="00B606BE">
            <w:pPr>
              <w:spacing w:line="259" w:lineRule="auto"/>
              <w:jc w:val="center"/>
              <w:rPr>
                <w:rFonts w:ascii="Open Sans" w:eastAsiaTheme="minorEastAsia" w:hAnsi="Open Sans" w:cs="Open Sans"/>
                <w:sz w:val="20"/>
                <w:szCs w:val="20"/>
              </w:rPr>
            </w:pPr>
          </w:p>
        </w:tc>
        <w:tc>
          <w:tcPr>
            <w:tcW w:w="2250" w:type="dxa"/>
            <w:shd w:val="clear" w:color="auto" w:fill="FFE599" w:themeFill="accent4" w:themeFillTint="66"/>
          </w:tcPr>
          <w:p w14:paraId="7A31D2EF" w14:textId="165420A4" w:rsidR="0042249B" w:rsidRPr="005949EB" w:rsidRDefault="0042249B" w:rsidP="00B606BE">
            <w:pPr>
              <w:jc w:val="center"/>
              <w:rPr>
                <w:rFonts w:ascii="Open Sans" w:eastAsiaTheme="minorEastAsia" w:hAnsi="Open Sans" w:cs="Open Sans"/>
                <w:kern w:val="0"/>
                <w:sz w:val="20"/>
                <w:szCs w:val="20"/>
                <w14:ligatures w14:val="none"/>
              </w:rPr>
            </w:pPr>
          </w:p>
        </w:tc>
        <w:tc>
          <w:tcPr>
            <w:tcW w:w="2340" w:type="dxa"/>
            <w:shd w:val="clear" w:color="auto" w:fill="C5E0B3" w:themeFill="accent6" w:themeFillTint="66"/>
          </w:tcPr>
          <w:p w14:paraId="38F3AE5C" w14:textId="3474F66B" w:rsidR="0042249B" w:rsidRPr="005949EB" w:rsidRDefault="00C466CD" w:rsidP="00B606BE">
            <w:pPr>
              <w:spacing w:line="259" w:lineRule="auto"/>
              <w:jc w:val="center"/>
              <w:rPr>
                <w:rFonts w:ascii="Open Sans" w:eastAsiaTheme="minorEastAsia" w:hAnsi="Open Sans" w:cs="Open Sans"/>
                <w:sz w:val="56"/>
                <w:szCs w:val="56"/>
              </w:rPr>
            </w:pPr>
            <w:r w:rsidRPr="005949EB">
              <w:rPr>
                <w:rFonts w:ascii="Open Sans" w:eastAsiaTheme="minorEastAsia" w:hAnsi="Open Sans" w:cs="Open Sans"/>
                <w:b/>
                <w:bCs/>
                <w:sz w:val="56"/>
                <w:szCs w:val="56"/>
              </w:rPr>
              <w:t>X</w:t>
            </w:r>
          </w:p>
        </w:tc>
      </w:tr>
      <w:tr w:rsidR="00C64402" w:rsidRPr="005949EB" w14:paraId="3A7F9A51" w14:textId="77777777" w:rsidTr="00831C16">
        <w:trPr>
          <w:trHeight w:val="300"/>
        </w:trPr>
        <w:tc>
          <w:tcPr>
            <w:tcW w:w="2790" w:type="dxa"/>
          </w:tcPr>
          <w:p w14:paraId="5A1B815D" w14:textId="77777777" w:rsidR="00C64402" w:rsidRPr="005949EB" w:rsidRDefault="00C64402" w:rsidP="001B11AE">
            <w:pPr>
              <w:spacing w:line="259" w:lineRule="auto"/>
              <w:rPr>
                <w:rFonts w:ascii="Open Sans" w:eastAsiaTheme="majorEastAsia" w:hAnsi="Open Sans" w:cs="Open Sans"/>
                <w:color w:val="2F5496" w:themeColor="accent1" w:themeShade="BF"/>
              </w:rPr>
            </w:pPr>
            <w:r w:rsidRPr="005949EB">
              <w:rPr>
                <w:rFonts w:ascii="Open Sans" w:eastAsiaTheme="majorEastAsia" w:hAnsi="Open Sans" w:cs="Open Sans"/>
                <w:color w:val="2F5496" w:themeColor="accent1" w:themeShade="BF"/>
              </w:rPr>
              <w:t>Rationale --&gt;</w:t>
            </w:r>
          </w:p>
        </w:tc>
        <w:tc>
          <w:tcPr>
            <w:tcW w:w="6930" w:type="dxa"/>
            <w:gridSpan w:val="3"/>
          </w:tcPr>
          <w:p w14:paraId="6C3EA652" w14:textId="7237342A" w:rsidR="00C64402" w:rsidRPr="007E223E" w:rsidRDefault="007E223E" w:rsidP="001A1DEF">
            <w:pPr>
              <w:rPr>
                <w:rFonts w:ascii="Open Sans" w:hAnsi="Open Sans" w:cs="Open Sans"/>
                <w:sz w:val="20"/>
                <w:szCs w:val="20"/>
              </w:rPr>
            </w:pPr>
            <w:r w:rsidRPr="007E223E">
              <w:rPr>
                <w:rFonts w:ascii="Open Sans" w:hAnsi="Open Sans" w:cs="Open Sans"/>
                <w:sz w:val="20"/>
                <w:szCs w:val="20"/>
              </w:rPr>
              <w:t xml:space="preserve">This function is based on </w:t>
            </w:r>
            <w:r w:rsidR="00C466CD">
              <w:rPr>
                <w:rStyle w:val="Heading2Char"/>
                <w:rFonts w:ascii="Open Sans" w:hAnsi="Open Sans" w:cs="Open Sans"/>
                <w:color w:val="auto"/>
                <w:sz w:val="20"/>
                <w:szCs w:val="20"/>
                <w:u w:val="none"/>
              </w:rPr>
              <w:t xml:space="preserve">empirical data for Salish Sucker from the study system </w:t>
            </w:r>
            <w:r w:rsidR="00C466CD">
              <w:rPr>
                <w:rStyle w:val="Heading2Char"/>
                <w:rFonts w:ascii="Open Sans" w:hAnsi="Open Sans" w:cs="Open Sans"/>
                <w:color w:val="auto"/>
                <w:sz w:val="20"/>
                <w:szCs w:val="20"/>
                <w:u w:val="none"/>
              </w:rPr>
              <w:fldChar w:fldCharType="begin" w:fldLock="1"/>
            </w:r>
            <w:r w:rsidR="0057467E">
              <w:rPr>
                <w:rStyle w:val="Heading2Char"/>
                <w:rFonts w:ascii="Open Sans" w:hAnsi="Open Sans" w:cs="Open Sans"/>
                <w:color w:val="auto"/>
                <w:sz w:val="20"/>
                <w:szCs w:val="20"/>
                <w:u w:val="none"/>
              </w:rPr>
              <w:instrText>ADDIN CSL_CITATION {"citationItems":[{"id":"ITEM-1","itemData":{"author":[{"dropping-particle":"","family":"Pearson","given":"M. P.","non-dropping-particle":"","parse-names":false,"suffix":""}],"id":"ITEM-1","issued":{"date-parts":[["2004"]]},"publisher":"University of British Columbia","title":"The ecology, status and recovery prospects of Noonsack Dace (Rhinichthys Cataractae ssp.) and Salish Sucker (Catostomus sp.) in Canada","type":"thesis"},"uris":["http://www.mendeley.com/documents/?uuid=318d4b71-77ce-4dfe-a1dc-a530d1353657"]},{"id":"ITEM-2","itemData":{"author":[{"dropping-particle":"","family":"Rosenfeld","given":"Jordan","non-dropping-particle":"","parse-names":false,"suffix":""},{"dropping-particle":"","family":"Pearson","given":"Michael P","non-dropping-particle":"","parse-names":false,"suffix":""},{"dropping-particle":"","family":"Miners","given":"Jill","non-dropping-particle":"","parse-names":false,"suffix":""},{"dropping-particle":"","family":"Zinn","given":"Kaitlyn","non-dropping-particle":"","parse-names":false,"suffix":""}],"id":"ITEM-2","issue":"February","issued":{"date-parts":[["2021"]]},"page":"1219-1233","title":"Effects of landscape-scale hypoxia on Salish sucker and salmonid habitat associations : implications for endangered","type":"article-journal","volume":"1233"},"uris":["http://www.mendeley.com/documents/?uuid=9b58aeee-233b-40e7-9915-6d005cffc6c3"]}],"mendeley":{"formattedCitation":"(Pearson 2004, Rosenfeld et al. 2021)","plainTextFormattedCitation":"(Pearson 2004, Rosenfeld et al. 2021)","previouslyFormattedCitation":"(Pearson 2004, Rosenfeld et al. 2021)"},"properties":{"noteIndex":0},"schema":"https://github.com/citation-style-language/schema/raw/master/csl-citation.json"}</w:instrText>
            </w:r>
            <w:r w:rsidR="00C466CD">
              <w:rPr>
                <w:rStyle w:val="Heading2Char"/>
                <w:rFonts w:ascii="Open Sans" w:hAnsi="Open Sans" w:cs="Open Sans"/>
                <w:color w:val="auto"/>
                <w:sz w:val="20"/>
                <w:szCs w:val="20"/>
                <w:u w:val="none"/>
              </w:rPr>
              <w:fldChar w:fldCharType="separate"/>
            </w:r>
            <w:r w:rsidR="00C466CD" w:rsidRPr="00C466CD">
              <w:rPr>
                <w:rStyle w:val="Heading2Char"/>
                <w:rFonts w:ascii="Open Sans" w:hAnsi="Open Sans" w:cs="Open Sans"/>
                <w:noProof/>
                <w:color w:val="auto"/>
                <w:sz w:val="20"/>
                <w:szCs w:val="20"/>
                <w:u w:val="none"/>
              </w:rPr>
              <w:t>(Pearson 2004, Rosenfeld et al. 2021)</w:t>
            </w:r>
            <w:r w:rsidR="00C466CD">
              <w:rPr>
                <w:rStyle w:val="Heading2Char"/>
                <w:rFonts w:ascii="Open Sans" w:hAnsi="Open Sans" w:cs="Open Sans"/>
                <w:color w:val="auto"/>
                <w:sz w:val="20"/>
                <w:szCs w:val="20"/>
                <w:u w:val="none"/>
              </w:rPr>
              <w:fldChar w:fldCharType="end"/>
            </w:r>
            <w:r w:rsidR="00C466CD">
              <w:rPr>
                <w:rStyle w:val="Heading2Char"/>
                <w:rFonts w:ascii="Open Sans" w:hAnsi="Open Sans" w:cs="Open Sans"/>
                <w:color w:val="auto"/>
                <w:sz w:val="20"/>
                <w:szCs w:val="20"/>
                <w:u w:val="none"/>
              </w:rPr>
              <w:t>.</w:t>
            </w:r>
            <w:r w:rsidRPr="007E223E">
              <w:rPr>
                <w:rStyle w:val="Heading2Char"/>
                <w:rFonts w:ascii="Open Sans" w:hAnsi="Open Sans" w:cs="Open Sans"/>
                <w:color w:val="auto"/>
                <w:sz w:val="20"/>
                <w:szCs w:val="20"/>
                <w:u w:val="none"/>
              </w:rPr>
              <w:t xml:space="preserve"> </w:t>
            </w:r>
          </w:p>
        </w:tc>
      </w:tr>
      <w:tr w:rsidR="0042249B" w:rsidRPr="005949EB" w14:paraId="650D0AA6" w14:textId="77777777" w:rsidTr="00831C16">
        <w:trPr>
          <w:trHeight w:val="300"/>
        </w:trPr>
        <w:tc>
          <w:tcPr>
            <w:tcW w:w="2790" w:type="dxa"/>
          </w:tcPr>
          <w:p w14:paraId="4C4FD916" w14:textId="77777777" w:rsidR="0042249B" w:rsidRPr="005949EB" w:rsidRDefault="0042249B" w:rsidP="001B11AE">
            <w:pPr>
              <w:rPr>
                <w:rFonts w:ascii="Open Sans" w:eastAsiaTheme="majorEastAsia" w:hAnsi="Open Sans" w:cs="Open Sans"/>
                <w:b/>
                <w:bCs/>
                <w:color w:val="2F5496" w:themeColor="accent1" w:themeShade="BF"/>
                <w:kern w:val="0"/>
                <w:sz w:val="28"/>
                <w:szCs w:val="28"/>
                <w14:ligatures w14:val="none"/>
              </w:rPr>
            </w:pPr>
            <w:r w:rsidRPr="005949EB">
              <w:rPr>
                <w:rFonts w:ascii="Open Sans" w:eastAsiaTheme="majorEastAsia" w:hAnsi="Open Sans" w:cs="Open Sans"/>
                <w:b/>
                <w:bCs/>
                <w:color w:val="2F5496" w:themeColor="accent1" w:themeShade="BF"/>
                <w:kern w:val="0"/>
                <w:sz w:val="28"/>
                <w:szCs w:val="28"/>
                <w14:ligatures w14:val="none"/>
              </w:rPr>
              <w:t>Shape of SR Function</w:t>
            </w:r>
          </w:p>
        </w:tc>
        <w:tc>
          <w:tcPr>
            <w:tcW w:w="2340" w:type="dxa"/>
            <w:shd w:val="clear" w:color="auto" w:fill="FFBDBD"/>
          </w:tcPr>
          <w:p w14:paraId="1A8E2DA1" w14:textId="55DC9659" w:rsidR="0042249B" w:rsidRPr="005949EB" w:rsidRDefault="0042249B" w:rsidP="00B606BE">
            <w:pPr>
              <w:jc w:val="center"/>
              <w:rPr>
                <w:rFonts w:ascii="Open Sans" w:eastAsiaTheme="minorEastAsia" w:hAnsi="Open Sans" w:cs="Open Sans"/>
                <w:kern w:val="0"/>
                <w:sz w:val="20"/>
                <w:szCs w:val="20"/>
                <w14:ligatures w14:val="none"/>
              </w:rPr>
            </w:pPr>
          </w:p>
        </w:tc>
        <w:tc>
          <w:tcPr>
            <w:tcW w:w="2250" w:type="dxa"/>
            <w:shd w:val="clear" w:color="auto" w:fill="FFE599" w:themeFill="accent4" w:themeFillTint="66"/>
          </w:tcPr>
          <w:p w14:paraId="5B794BE8" w14:textId="256B2054" w:rsidR="0042249B" w:rsidRPr="005949EB" w:rsidRDefault="0042249B" w:rsidP="00B606BE">
            <w:pPr>
              <w:spacing w:line="259" w:lineRule="auto"/>
              <w:jc w:val="center"/>
              <w:rPr>
                <w:rFonts w:ascii="Open Sans" w:eastAsiaTheme="minorEastAsia" w:hAnsi="Open Sans" w:cs="Open Sans"/>
                <w:sz w:val="20"/>
                <w:szCs w:val="20"/>
              </w:rPr>
            </w:pPr>
          </w:p>
        </w:tc>
        <w:tc>
          <w:tcPr>
            <w:tcW w:w="2340" w:type="dxa"/>
            <w:shd w:val="clear" w:color="auto" w:fill="C5E0B3" w:themeFill="accent6" w:themeFillTint="66"/>
          </w:tcPr>
          <w:p w14:paraId="5761FBFD" w14:textId="5361345F" w:rsidR="0042249B" w:rsidRPr="005949EB" w:rsidRDefault="007E223E" w:rsidP="00B606BE">
            <w:pPr>
              <w:jc w:val="center"/>
              <w:rPr>
                <w:rFonts w:ascii="Open Sans" w:eastAsiaTheme="minorEastAsia" w:hAnsi="Open Sans" w:cs="Open Sans"/>
                <w:kern w:val="0"/>
                <w:sz w:val="20"/>
                <w:szCs w:val="20"/>
                <w14:ligatures w14:val="none"/>
              </w:rPr>
            </w:pPr>
            <w:r w:rsidRPr="005949EB">
              <w:rPr>
                <w:rFonts w:ascii="Open Sans" w:eastAsiaTheme="minorEastAsia" w:hAnsi="Open Sans" w:cs="Open Sans"/>
                <w:b/>
                <w:bCs/>
                <w:sz w:val="56"/>
                <w:szCs w:val="56"/>
              </w:rPr>
              <w:t>X</w:t>
            </w:r>
          </w:p>
        </w:tc>
      </w:tr>
      <w:tr w:rsidR="00C64402" w:rsidRPr="005949EB" w14:paraId="1D6BEA09" w14:textId="77777777" w:rsidTr="00831C16">
        <w:trPr>
          <w:trHeight w:val="300"/>
        </w:trPr>
        <w:tc>
          <w:tcPr>
            <w:tcW w:w="2790" w:type="dxa"/>
          </w:tcPr>
          <w:p w14:paraId="405E782B" w14:textId="77777777" w:rsidR="00C64402" w:rsidRPr="005949EB" w:rsidRDefault="00C64402" w:rsidP="001B11AE">
            <w:pPr>
              <w:rPr>
                <w:rFonts w:ascii="Open Sans" w:eastAsiaTheme="majorEastAsia" w:hAnsi="Open Sans" w:cs="Open Sans"/>
                <w:color w:val="2F5496" w:themeColor="accent1" w:themeShade="BF"/>
              </w:rPr>
            </w:pPr>
            <w:r w:rsidRPr="005949EB">
              <w:rPr>
                <w:rFonts w:ascii="Open Sans" w:eastAsiaTheme="majorEastAsia" w:hAnsi="Open Sans" w:cs="Open Sans"/>
                <w:color w:val="2F5496" w:themeColor="accent1" w:themeShade="BF"/>
              </w:rPr>
              <w:t xml:space="preserve"> Rationale --&gt;</w:t>
            </w:r>
          </w:p>
        </w:tc>
        <w:tc>
          <w:tcPr>
            <w:tcW w:w="6930" w:type="dxa"/>
            <w:gridSpan w:val="3"/>
          </w:tcPr>
          <w:p w14:paraId="0334D8C0" w14:textId="139846E1" w:rsidR="00C64402" w:rsidRPr="00130421" w:rsidRDefault="00DF5CC7" w:rsidP="00112E2A">
            <w:pPr>
              <w:rPr>
                <w:rFonts w:ascii="Open Sans" w:hAnsi="Open Sans" w:cs="Open Sans"/>
                <w:sz w:val="20"/>
                <w:szCs w:val="20"/>
              </w:rPr>
            </w:pPr>
            <w:r w:rsidRPr="00130421">
              <w:rPr>
                <w:rStyle w:val="Heading2Char"/>
                <w:rFonts w:ascii="Open Sans" w:hAnsi="Open Sans" w:cs="Open Sans"/>
                <w:color w:val="auto"/>
                <w:sz w:val="20"/>
                <w:szCs w:val="20"/>
                <w:u w:val="none"/>
              </w:rPr>
              <w:t xml:space="preserve">The relationship between temperature and </w:t>
            </w:r>
            <w:r w:rsidR="0067696E" w:rsidRPr="00130421">
              <w:rPr>
                <w:rStyle w:val="Heading2Char"/>
                <w:rFonts w:ascii="Open Sans" w:hAnsi="Open Sans" w:cs="Open Sans"/>
                <w:color w:val="auto"/>
                <w:sz w:val="20"/>
                <w:szCs w:val="20"/>
                <w:u w:val="none"/>
              </w:rPr>
              <w:t xml:space="preserve">Salish Sucker </w:t>
            </w:r>
            <w:r w:rsidRPr="00130421">
              <w:rPr>
                <w:rStyle w:val="Heading2Char"/>
                <w:rFonts w:ascii="Open Sans" w:hAnsi="Open Sans" w:cs="Open Sans"/>
                <w:color w:val="auto"/>
                <w:sz w:val="20"/>
                <w:szCs w:val="20"/>
                <w:u w:val="none"/>
              </w:rPr>
              <w:t xml:space="preserve">CPUE </w:t>
            </w:r>
            <w:r w:rsidR="0067696E" w:rsidRPr="00130421">
              <w:rPr>
                <w:rStyle w:val="Heading2Char"/>
                <w:rFonts w:ascii="Open Sans" w:hAnsi="Open Sans" w:cs="Open Sans"/>
                <w:color w:val="auto"/>
                <w:sz w:val="20"/>
                <w:szCs w:val="20"/>
                <w:u w:val="none"/>
              </w:rPr>
              <w:t>identified by Rosenfeld et al. (2021</w:t>
            </w:r>
            <w:r w:rsidR="00436867">
              <w:rPr>
                <w:rStyle w:val="Heading2Char"/>
                <w:rFonts w:ascii="Open Sans" w:hAnsi="Open Sans" w:cs="Open Sans"/>
                <w:color w:val="auto"/>
                <w:sz w:val="20"/>
                <w:szCs w:val="20"/>
                <w:u w:val="none"/>
              </w:rPr>
              <w:t>)</w:t>
            </w:r>
            <w:r w:rsidR="0067696E" w:rsidRPr="00130421">
              <w:rPr>
                <w:rStyle w:val="Heading2Char"/>
                <w:rFonts w:ascii="Open Sans" w:hAnsi="Open Sans" w:cs="Open Sans"/>
                <w:color w:val="auto"/>
                <w:sz w:val="20"/>
                <w:szCs w:val="20"/>
                <w:u w:val="none"/>
              </w:rPr>
              <w:t xml:space="preserve">, </w:t>
            </w:r>
            <w:r w:rsidR="00214E69">
              <w:rPr>
                <w:rStyle w:val="Heading2Char"/>
                <w:rFonts w:ascii="Open Sans" w:hAnsi="Open Sans" w:cs="Open Sans"/>
                <w:color w:val="auto"/>
                <w:sz w:val="20"/>
                <w:szCs w:val="20"/>
                <w:u w:val="none"/>
              </w:rPr>
              <w:t xml:space="preserve">the </w:t>
            </w:r>
            <w:r w:rsidRPr="00130421">
              <w:rPr>
                <w:rStyle w:val="Heading2Char"/>
                <w:rFonts w:ascii="Open Sans" w:hAnsi="Open Sans" w:cs="Open Sans"/>
                <w:color w:val="auto"/>
                <w:sz w:val="20"/>
                <w:szCs w:val="20"/>
                <w:u w:val="none"/>
              </w:rPr>
              <w:t xml:space="preserve">Generalized Additive Model (GAM) fit to </w:t>
            </w:r>
            <w:r w:rsidR="00214E69">
              <w:rPr>
                <w:rStyle w:val="Heading2Char"/>
                <w:rFonts w:ascii="Open Sans" w:hAnsi="Open Sans" w:cs="Open Sans"/>
                <w:color w:val="auto"/>
                <w:sz w:val="20"/>
                <w:szCs w:val="20"/>
                <w:u w:val="none"/>
              </w:rPr>
              <w:t xml:space="preserve">the </w:t>
            </w:r>
            <w:r w:rsidRPr="00130421">
              <w:rPr>
                <w:rStyle w:val="Heading2Char"/>
                <w:rFonts w:ascii="Open Sans" w:hAnsi="Open Sans" w:cs="Open Sans"/>
                <w:color w:val="auto"/>
                <w:sz w:val="20"/>
                <w:szCs w:val="20"/>
                <w:u w:val="none"/>
              </w:rPr>
              <w:t>original data</w:t>
            </w:r>
            <w:r w:rsidRPr="00130421">
              <w:rPr>
                <w:rStyle w:val="Heading1Char"/>
                <w:rFonts w:ascii="Open Sans" w:hAnsi="Open Sans" w:cs="Open Sans"/>
                <w:color w:val="auto"/>
                <w:sz w:val="20"/>
                <w:szCs w:val="20"/>
              </w:rPr>
              <w:t xml:space="preserve"> of </w:t>
            </w:r>
            <w:r w:rsidRPr="00130421">
              <w:rPr>
                <w:rStyle w:val="Heading2Char"/>
                <w:rFonts w:ascii="Open Sans" w:hAnsi="Open Sans" w:cs="Open Sans"/>
                <w:color w:val="auto"/>
                <w:sz w:val="20"/>
                <w:szCs w:val="20"/>
                <w:u w:val="none"/>
              </w:rPr>
              <w:t xml:space="preserve">Rosenfeld </w:t>
            </w:r>
            <w:r w:rsidR="00A8306E">
              <w:rPr>
                <w:rStyle w:val="Heading2Char"/>
                <w:rFonts w:ascii="Open Sans" w:hAnsi="Open Sans" w:cs="Open Sans"/>
                <w:color w:val="auto"/>
                <w:sz w:val="20"/>
                <w:szCs w:val="20"/>
                <w:u w:val="none"/>
              </w:rPr>
              <w:t>et al. (2021)</w:t>
            </w:r>
            <w:r w:rsidR="00214E69">
              <w:rPr>
                <w:rStyle w:val="Heading2Char"/>
                <w:rFonts w:ascii="Open Sans" w:hAnsi="Open Sans" w:cs="Open Sans"/>
                <w:color w:val="auto"/>
                <w:sz w:val="20"/>
                <w:szCs w:val="20"/>
                <w:u w:val="none"/>
              </w:rPr>
              <w:t>,</w:t>
            </w:r>
            <w:r w:rsidR="0067696E" w:rsidRPr="00130421">
              <w:rPr>
                <w:rStyle w:val="Heading2Char"/>
                <w:rFonts w:ascii="Open Sans" w:hAnsi="Open Sans" w:cs="Open Sans"/>
                <w:color w:val="auto"/>
                <w:sz w:val="20"/>
                <w:szCs w:val="20"/>
                <w:u w:val="none"/>
              </w:rPr>
              <w:t xml:space="preserve"> and </w:t>
            </w:r>
            <w:r w:rsidR="00214E69">
              <w:rPr>
                <w:rStyle w:val="Heading2Char"/>
                <w:rFonts w:ascii="Open Sans" w:hAnsi="Open Sans" w:cs="Open Sans"/>
                <w:color w:val="auto"/>
                <w:sz w:val="20"/>
                <w:szCs w:val="20"/>
                <w:u w:val="none"/>
              </w:rPr>
              <w:t xml:space="preserve">data from </w:t>
            </w:r>
            <w:r w:rsidR="0067696E" w:rsidRPr="00130421">
              <w:rPr>
                <w:rStyle w:val="Heading2Char"/>
                <w:rFonts w:ascii="Open Sans" w:hAnsi="Open Sans" w:cs="Open Sans"/>
                <w:color w:val="auto"/>
                <w:sz w:val="20"/>
                <w:szCs w:val="20"/>
                <w:u w:val="none"/>
              </w:rPr>
              <w:t>Pearson</w:t>
            </w:r>
            <w:r w:rsidR="007E223E" w:rsidRPr="00130421">
              <w:rPr>
                <w:rStyle w:val="Heading2Char"/>
                <w:rFonts w:ascii="Open Sans" w:hAnsi="Open Sans" w:cs="Open Sans"/>
                <w:color w:val="auto"/>
                <w:sz w:val="20"/>
                <w:szCs w:val="20"/>
                <w:u w:val="none"/>
              </w:rPr>
              <w:t xml:space="preserve"> (2004) support the overall shape of the function and </w:t>
            </w:r>
            <w:r w:rsidR="009244F9" w:rsidRPr="00130421">
              <w:rPr>
                <w:rFonts w:ascii="Open Sans" w:hAnsi="Open Sans" w:cs="Open Sans"/>
                <w:sz w:val="20"/>
                <w:szCs w:val="20"/>
              </w:rPr>
              <w:t>inflection points</w:t>
            </w:r>
            <w:r w:rsidR="007E223E" w:rsidRPr="00130421">
              <w:rPr>
                <w:rFonts w:ascii="Open Sans" w:hAnsi="Open Sans" w:cs="Open Sans"/>
                <w:sz w:val="20"/>
                <w:szCs w:val="20"/>
              </w:rPr>
              <w:t>.</w:t>
            </w:r>
            <w:r w:rsidR="0067696E" w:rsidRPr="00130421">
              <w:rPr>
                <w:rFonts w:ascii="Open Sans" w:hAnsi="Open Sans" w:cs="Open Sans"/>
                <w:sz w:val="20"/>
                <w:szCs w:val="20"/>
              </w:rPr>
              <w:t xml:space="preserve"> In addition, the </w:t>
            </w:r>
            <w:r w:rsidR="00214E69">
              <w:rPr>
                <w:rFonts w:ascii="Open Sans" w:hAnsi="Open Sans" w:cs="Open Sans"/>
                <w:sz w:val="20"/>
                <w:szCs w:val="20"/>
              </w:rPr>
              <w:t xml:space="preserve">shape of the </w:t>
            </w:r>
            <w:r w:rsidR="0067696E" w:rsidRPr="00130421">
              <w:rPr>
                <w:rFonts w:ascii="Open Sans" w:hAnsi="Open Sans" w:cs="Open Sans"/>
                <w:sz w:val="20"/>
                <w:szCs w:val="20"/>
              </w:rPr>
              <w:t>habitat suitability index model for Longnose Sucker (Edwards, 1983) is generally consistent with the shape of the function</w:t>
            </w:r>
            <w:r w:rsidR="00214E69">
              <w:rPr>
                <w:rFonts w:ascii="Open Sans" w:hAnsi="Open Sans" w:cs="Open Sans"/>
                <w:sz w:val="20"/>
                <w:szCs w:val="20"/>
              </w:rPr>
              <w:t>, although not the intercepts since Salish sucker appear more warm-adapted.</w:t>
            </w:r>
          </w:p>
        </w:tc>
      </w:tr>
      <w:tr w:rsidR="0042249B" w:rsidRPr="005949EB" w14:paraId="676B3FBF" w14:textId="77777777" w:rsidTr="00831C16">
        <w:trPr>
          <w:trHeight w:val="300"/>
        </w:trPr>
        <w:tc>
          <w:tcPr>
            <w:tcW w:w="2790" w:type="dxa"/>
          </w:tcPr>
          <w:p w14:paraId="4FFE1C29" w14:textId="77777777" w:rsidR="0042249B" w:rsidRPr="005949EB" w:rsidRDefault="0042249B" w:rsidP="001B11AE">
            <w:pPr>
              <w:rPr>
                <w:rFonts w:ascii="Open Sans" w:eastAsiaTheme="majorEastAsia" w:hAnsi="Open Sans" w:cs="Open Sans"/>
                <w:b/>
                <w:bCs/>
                <w:color w:val="2F5496" w:themeColor="accent1" w:themeShade="BF"/>
                <w:kern w:val="0"/>
                <w:sz w:val="28"/>
                <w:szCs w:val="28"/>
                <w14:ligatures w14:val="none"/>
              </w:rPr>
            </w:pPr>
            <w:r w:rsidRPr="005949EB">
              <w:rPr>
                <w:rFonts w:ascii="Open Sans" w:eastAsiaTheme="majorEastAsia" w:hAnsi="Open Sans" w:cs="Open Sans"/>
                <w:b/>
                <w:bCs/>
                <w:color w:val="2F5496" w:themeColor="accent1" w:themeShade="BF"/>
                <w:kern w:val="0"/>
                <w:sz w:val="28"/>
                <w:szCs w:val="28"/>
                <w14:ligatures w14:val="none"/>
              </w:rPr>
              <w:t>Data Variance/</w:t>
            </w:r>
          </w:p>
          <w:p w14:paraId="628B26E9" w14:textId="77777777" w:rsidR="0042249B" w:rsidRPr="005949EB" w:rsidRDefault="0042249B" w:rsidP="001B11AE">
            <w:pPr>
              <w:spacing w:line="259" w:lineRule="auto"/>
              <w:rPr>
                <w:rFonts w:ascii="Open Sans" w:eastAsiaTheme="majorEastAsia" w:hAnsi="Open Sans" w:cs="Open Sans"/>
                <w:b/>
                <w:bCs/>
                <w:color w:val="2F5496" w:themeColor="accent1" w:themeShade="BF"/>
                <w:sz w:val="28"/>
                <w:szCs w:val="28"/>
              </w:rPr>
            </w:pPr>
            <w:r w:rsidRPr="005949EB">
              <w:rPr>
                <w:rFonts w:ascii="Open Sans" w:eastAsiaTheme="majorEastAsia" w:hAnsi="Open Sans" w:cs="Open Sans"/>
                <w:b/>
                <w:bCs/>
                <w:color w:val="2F5496" w:themeColor="accent1" w:themeShade="BF"/>
                <w:kern w:val="0"/>
                <w:sz w:val="28"/>
                <w:szCs w:val="28"/>
                <w14:ligatures w14:val="none"/>
              </w:rPr>
              <w:t>Consistency</w:t>
            </w:r>
          </w:p>
        </w:tc>
        <w:tc>
          <w:tcPr>
            <w:tcW w:w="2340" w:type="dxa"/>
            <w:shd w:val="clear" w:color="auto" w:fill="FFBDBD"/>
          </w:tcPr>
          <w:p w14:paraId="5D07F6EE" w14:textId="501EA630" w:rsidR="0042249B" w:rsidRPr="005949EB" w:rsidRDefault="007E223E" w:rsidP="00B606BE">
            <w:pPr>
              <w:spacing w:line="259" w:lineRule="auto"/>
              <w:jc w:val="center"/>
              <w:rPr>
                <w:rFonts w:ascii="Open Sans" w:eastAsiaTheme="minorEastAsia" w:hAnsi="Open Sans" w:cs="Open Sans"/>
                <w:kern w:val="0"/>
                <w:sz w:val="20"/>
                <w:szCs w:val="20"/>
                <w14:ligatures w14:val="none"/>
              </w:rPr>
            </w:pPr>
            <w:r w:rsidRPr="005949EB">
              <w:rPr>
                <w:rFonts w:ascii="Open Sans" w:eastAsiaTheme="minorEastAsia" w:hAnsi="Open Sans" w:cs="Open Sans"/>
                <w:b/>
                <w:bCs/>
                <w:sz w:val="56"/>
                <w:szCs w:val="56"/>
              </w:rPr>
              <w:t>X</w:t>
            </w:r>
          </w:p>
        </w:tc>
        <w:tc>
          <w:tcPr>
            <w:tcW w:w="2250" w:type="dxa"/>
            <w:shd w:val="clear" w:color="auto" w:fill="FFE599" w:themeFill="accent4" w:themeFillTint="66"/>
          </w:tcPr>
          <w:p w14:paraId="26FD40D3" w14:textId="70E5F66E" w:rsidR="0042249B" w:rsidRPr="005949EB" w:rsidRDefault="0042249B" w:rsidP="00B606BE">
            <w:pPr>
              <w:spacing w:line="259" w:lineRule="auto"/>
              <w:jc w:val="center"/>
              <w:rPr>
                <w:rFonts w:ascii="Open Sans" w:eastAsiaTheme="minorEastAsia" w:hAnsi="Open Sans" w:cs="Open Sans"/>
                <w:sz w:val="20"/>
                <w:szCs w:val="20"/>
              </w:rPr>
            </w:pPr>
          </w:p>
        </w:tc>
        <w:tc>
          <w:tcPr>
            <w:tcW w:w="2340" w:type="dxa"/>
            <w:shd w:val="clear" w:color="auto" w:fill="C5E0B3" w:themeFill="accent6" w:themeFillTint="66"/>
          </w:tcPr>
          <w:p w14:paraId="5CACACBA" w14:textId="6BB80E84" w:rsidR="0042249B" w:rsidRPr="005949EB" w:rsidRDefault="0042249B" w:rsidP="00B606BE">
            <w:pPr>
              <w:spacing w:line="259" w:lineRule="auto"/>
              <w:jc w:val="center"/>
              <w:rPr>
                <w:rFonts w:ascii="Open Sans" w:eastAsiaTheme="minorEastAsia" w:hAnsi="Open Sans" w:cs="Open Sans"/>
                <w:sz w:val="20"/>
                <w:szCs w:val="20"/>
              </w:rPr>
            </w:pPr>
          </w:p>
        </w:tc>
      </w:tr>
      <w:tr w:rsidR="005B1A18" w:rsidRPr="005949EB" w14:paraId="55AD8AA2" w14:textId="77777777" w:rsidTr="00831C16">
        <w:trPr>
          <w:trHeight w:val="300"/>
        </w:trPr>
        <w:tc>
          <w:tcPr>
            <w:tcW w:w="2790" w:type="dxa"/>
          </w:tcPr>
          <w:p w14:paraId="18797CF9" w14:textId="77777777" w:rsidR="005B1A18" w:rsidRPr="005949EB" w:rsidRDefault="005B1A18" w:rsidP="005B1A18">
            <w:pPr>
              <w:rPr>
                <w:rFonts w:ascii="Open Sans" w:eastAsiaTheme="majorEastAsia" w:hAnsi="Open Sans" w:cs="Open Sans"/>
                <w:color w:val="2F5496" w:themeColor="accent1" w:themeShade="BF"/>
              </w:rPr>
            </w:pPr>
            <w:r w:rsidRPr="005949EB">
              <w:rPr>
                <w:rFonts w:ascii="Open Sans" w:eastAsiaTheme="majorEastAsia" w:hAnsi="Open Sans" w:cs="Open Sans"/>
                <w:color w:val="2F5496" w:themeColor="accent1" w:themeShade="BF"/>
              </w:rPr>
              <w:lastRenderedPageBreak/>
              <w:t xml:space="preserve"> Rationale --&gt;</w:t>
            </w:r>
          </w:p>
        </w:tc>
        <w:tc>
          <w:tcPr>
            <w:tcW w:w="6930" w:type="dxa"/>
            <w:gridSpan w:val="3"/>
          </w:tcPr>
          <w:p w14:paraId="07BC163B" w14:textId="10F9CB1E" w:rsidR="005B1A18" w:rsidRPr="005949EB" w:rsidRDefault="005B1A18" w:rsidP="005B1A18">
            <w:pPr>
              <w:rPr>
                <w:rFonts w:ascii="Open Sans" w:hAnsi="Open Sans" w:cs="Open Sans"/>
                <w:sz w:val="20"/>
                <w:szCs w:val="20"/>
              </w:rPr>
            </w:pPr>
            <w:r w:rsidRPr="001E0680">
              <w:rPr>
                <w:rFonts w:ascii="Open Sans" w:hAnsi="Open Sans" w:cs="Open Sans"/>
                <w:sz w:val="20"/>
                <w:szCs w:val="20"/>
              </w:rPr>
              <w:t xml:space="preserve">Variance around this function is largely unknown. </w:t>
            </w:r>
            <w:r w:rsidR="00214E69">
              <w:rPr>
                <w:rFonts w:ascii="Open Sans" w:hAnsi="Open Sans" w:cs="Open Sans"/>
                <w:sz w:val="20"/>
                <w:szCs w:val="20"/>
              </w:rPr>
              <w:t xml:space="preserve"> However, both the Pearson (2004) and Rosenfeld et al. (2021) data fit well within the thermal envelope defined by the model.  The Pearson (2004) data provides a good confirmatory fit that is robust to the data used to standardize it (see Excel function spreadshe</w:t>
            </w:r>
            <w:r w:rsidR="000428D2">
              <w:rPr>
                <w:rFonts w:ascii="Open Sans" w:hAnsi="Open Sans" w:cs="Open Sans"/>
                <w:sz w:val="20"/>
                <w:szCs w:val="20"/>
              </w:rPr>
              <w:t>e</w:t>
            </w:r>
            <w:r w:rsidR="00214E69">
              <w:rPr>
                <w:rFonts w:ascii="Open Sans" w:hAnsi="Open Sans" w:cs="Open Sans"/>
                <w:sz w:val="20"/>
                <w:szCs w:val="20"/>
              </w:rPr>
              <w:t xml:space="preserve">t). </w:t>
            </w:r>
          </w:p>
        </w:tc>
      </w:tr>
      <w:tr w:rsidR="0042249B" w:rsidRPr="005949EB" w14:paraId="64ECFA8D" w14:textId="77777777" w:rsidTr="00831C16">
        <w:trPr>
          <w:trHeight w:val="300"/>
        </w:trPr>
        <w:tc>
          <w:tcPr>
            <w:tcW w:w="2790" w:type="dxa"/>
          </w:tcPr>
          <w:p w14:paraId="7DAC4157" w14:textId="77777777" w:rsidR="0042249B" w:rsidRPr="005949EB" w:rsidRDefault="0042249B" w:rsidP="001B11AE">
            <w:pPr>
              <w:rPr>
                <w:rFonts w:ascii="Open Sans" w:eastAsiaTheme="majorEastAsia" w:hAnsi="Open Sans" w:cs="Open Sans"/>
                <w:b/>
                <w:bCs/>
                <w:color w:val="2F5496" w:themeColor="accent1" w:themeShade="BF"/>
                <w:kern w:val="0"/>
                <w:sz w:val="28"/>
                <w:szCs w:val="28"/>
                <w14:ligatures w14:val="none"/>
              </w:rPr>
            </w:pPr>
            <w:r w:rsidRPr="005949EB">
              <w:rPr>
                <w:rFonts w:ascii="Open Sans" w:eastAsiaTheme="majorEastAsia" w:hAnsi="Open Sans" w:cs="Open Sans"/>
                <w:b/>
                <w:bCs/>
                <w:color w:val="2F5496" w:themeColor="accent1" w:themeShade="BF"/>
                <w:kern w:val="0"/>
                <w:sz w:val="28"/>
                <w:szCs w:val="28"/>
                <w14:ligatures w14:val="none"/>
              </w:rPr>
              <w:t>Applicability to System</w:t>
            </w:r>
          </w:p>
        </w:tc>
        <w:tc>
          <w:tcPr>
            <w:tcW w:w="2340" w:type="dxa"/>
            <w:shd w:val="clear" w:color="auto" w:fill="FFBDBD"/>
          </w:tcPr>
          <w:p w14:paraId="256D24D1" w14:textId="0BA31BCC" w:rsidR="0042249B" w:rsidRPr="005949EB" w:rsidRDefault="0042249B" w:rsidP="00B606BE">
            <w:pPr>
              <w:spacing w:line="259" w:lineRule="auto"/>
              <w:jc w:val="center"/>
              <w:rPr>
                <w:rFonts w:ascii="Open Sans" w:eastAsiaTheme="minorEastAsia" w:hAnsi="Open Sans" w:cs="Open Sans"/>
                <w:sz w:val="20"/>
                <w:szCs w:val="20"/>
              </w:rPr>
            </w:pPr>
          </w:p>
        </w:tc>
        <w:tc>
          <w:tcPr>
            <w:tcW w:w="2250" w:type="dxa"/>
            <w:shd w:val="clear" w:color="auto" w:fill="FFE599" w:themeFill="accent4" w:themeFillTint="66"/>
          </w:tcPr>
          <w:p w14:paraId="672A2D68" w14:textId="5F77E648" w:rsidR="0042249B" w:rsidRPr="005949EB" w:rsidRDefault="0042249B" w:rsidP="00B606BE">
            <w:pPr>
              <w:spacing w:line="259" w:lineRule="auto"/>
              <w:jc w:val="center"/>
              <w:rPr>
                <w:rFonts w:ascii="Open Sans" w:eastAsiaTheme="minorEastAsia" w:hAnsi="Open Sans" w:cs="Open Sans"/>
                <w:sz w:val="20"/>
                <w:szCs w:val="20"/>
              </w:rPr>
            </w:pPr>
          </w:p>
        </w:tc>
        <w:tc>
          <w:tcPr>
            <w:tcW w:w="2340" w:type="dxa"/>
            <w:shd w:val="clear" w:color="auto" w:fill="C5E0B3" w:themeFill="accent6" w:themeFillTint="66"/>
          </w:tcPr>
          <w:p w14:paraId="581CD38F" w14:textId="15CA439B" w:rsidR="0042249B" w:rsidRPr="005949EB" w:rsidRDefault="00210658" w:rsidP="00B606BE">
            <w:pPr>
              <w:spacing w:line="259" w:lineRule="auto"/>
              <w:jc w:val="center"/>
              <w:rPr>
                <w:rFonts w:ascii="Open Sans" w:eastAsiaTheme="minorEastAsia" w:hAnsi="Open Sans" w:cs="Open Sans"/>
                <w:sz w:val="20"/>
                <w:szCs w:val="20"/>
              </w:rPr>
            </w:pPr>
            <w:r w:rsidRPr="005949EB">
              <w:rPr>
                <w:rFonts w:ascii="Open Sans" w:eastAsiaTheme="minorEastAsia" w:hAnsi="Open Sans" w:cs="Open Sans"/>
                <w:b/>
                <w:bCs/>
                <w:sz w:val="56"/>
                <w:szCs w:val="56"/>
              </w:rPr>
              <w:t>X</w:t>
            </w:r>
          </w:p>
        </w:tc>
      </w:tr>
      <w:tr w:rsidR="00C64402" w:rsidRPr="005949EB" w14:paraId="37A6E588" w14:textId="77777777" w:rsidTr="00831C16">
        <w:trPr>
          <w:trHeight w:val="300"/>
        </w:trPr>
        <w:tc>
          <w:tcPr>
            <w:tcW w:w="2790" w:type="dxa"/>
            <w:tcBorders>
              <w:bottom w:val="single" w:sz="4" w:space="0" w:color="auto"/>
            </w:tcBorders>
          </w:tcPr>
          <w:p w14:paraId="7254D8BF" w14:textId="77777777" w:rsidR="00C64402" w:rsidRPr="005949EB" w:rsidRDefault="00C64402" w:rsidP="001B11AE">
            <w:pPr>
              <w:rPr>
                <w:rFonts w:ascii="Open Sans" w:eastAsiaTheme="majorEastAsia" w:hAnsi="Open Sans" w:cs="Open Sans"/>
                <w:color w:val="2F5496" w:themeColor="accent1" w:themeShade="BF"/>
              </w:rPr>
            </w:pPr>
            <w:r w:rsidRPr="005949EB">
              <w:rPr>
                <w:rFonts w:ascii="Open Sans" w:eastAsiaTheme="majorEastAsia" w:hAnsi="Open Sans" w:cs="Open Sans"/>
                <w:color w:val="2F5496" w:themeColor="accent1" w:themeShade="BF"/>
              </w:rPr>
              <w:t xml:space="preserve"> Rationale --&gt;</w:t>
            </w:r>
          </w:p>
        </w:tc>
        <w:tc>
          <w:tcPr>
            <w:tcW w:w="6930" w:type="dxa"/>
            <w:gridSpan w:val="3"/>
            <w:tcBorders>
              <w:bottom w:val="single" w:sz="4" w:space="0" w:color="auto"/>
            </w:tcBorders>
          </w:tcPr>
          <w:p w14:paraId="3C0C1C4F" w14:textId="41E5BFB3" w:rsidR="00C64402" w:rsidRPr="005949EB" w:rsidRDefault="00EA6BFD" w:rsidP="001B11AE">
            <w:pPr>
              <w:rPr>
                <w:rFonts w:ascii="Open Sans" w:hAnsi="Open Sans" w:cs="Open Sans"/>
                <w:sz w:val="20"/>
                <w:szCs w:val="20"/>
              </w:rPr>
            </w:pPr>
            <w:r>
              <w:rPr>
                <w:rFonts w:ascii="Open Sans" w:hAnsi="Open Sans" w:cs="Open Sans"/>
                <w:sz w:val="20"/>
                <w:szCs w:val="20"/>
              </w:rPr>
              <w:t>The target system involves the same species, populations and geographic area as the data sources used to derive the SR function.</w:t>
            </w:r>
          </w:p>
        </w:tc>
      </w:tr>
      <w:tr w:rsidR="0042249B" w:rsidRPr="005949EB" w14:paraId="7707E97F" w14:textId="77777777" w:rsidTr="00831C16">
        <w:trPr>
          <w:trHeight w:val="300"/>
        </w:trPr>
        <w:tc>
          <w:tcPr>
            <w:tcW w:w="2790" w:type="dxa"/>
            <w:tcBorders>
              <w:top w:val="single" w:sz="4" w:space="0" w:color="auto"/>
              <w:bottom w:val="single" w:sz="4" w:space="0" w:color="auto"/>
            </w:tcBorders>
          </w:tcPr>
          <w:p w14:paraId="18C05C4A" w14:textId="77777777" w:rsidR="0042249B" w:rsidRPr="005949EB" w:rsidRDefault="0042249B" w:rsidP="001B11AE">
            <w:pPr>
              <w:rPr>
                <w:rFonts w:ascii="Open Sans" w:eastAsiaTheme="majorEastAsia" w:hAnsi="Open Sans" w:cs="Open Sans"/>
                <w:b/>
                <w:bCs/>
                <w:color w:val="2F5496" w:themeColor="accent1" w:themeShade="BF"/>
                <w:kern w:val="0"/>
                <w:sz w:val="28"/>
                <w:szCs w:val="28"/>
                <w14:ligatures w14:val="none"/>
              </w:rPr>
            </w:pPr>
            <w:r w:rsidRPr="005949EB">
              <w:rPr>
                <w:rFonts w:ascii="Open Sans" w:eastAsiaTheme="majorEastAsia" w:hAnsi="Open Sans" w:cs="Open Sans"/>
                <w:b/>
                <w:bCs/>
                <w:color w:val="2F5496" w:themeColor="accent1" w:themeShade="BF"/>
                <w:kern w:val="0"/>
                <w:sz w:val="28"/>
                <w:szCs w:val="28"/>
                <w14:ligatures w14:val="none"/>
              </w:rPr>
              <w:t xml:space="preserve">Potential Stressor Interactions </w:t>
            </w:r>
          </w:p>
        </w:tc>
        <w:tc>
          <w:tcPr>
            <w:tcW w:w="2340" w:type="dxa"/>
            <w:tcBorders>
              <w:top w:val="single" w:sz="4" w:space="0" w:color="auto"/>
              <w:bottom w:val="single" w:sz="4" w:space="0" w:color="auto"/>
            </w:tcBorders>
            <w:shd w:val="clear" w:color="auto" w:fill="FFBDBD"/>
          </w:tcPr>
          <w:p w14:paraId="13EED5A5" w14:textId="51A2A154" w:rsidR="0042249B" w:rsidRPr="005949EB" w:rsidRDefault="0042249B" w:rsidP="00B606BE">
            <w:pPr>
              <w:spacing w:line="259" w:lineRule="auto"/>
              <w:jc w:val="center"/>
              <w:rPr>
                <w:rFonts w:ascii="Open Sans" w:eastAsiaTheme="minorEastAsia" w:hAnsi="Open Sans" w:cs="Open Sans"/>
                <w:sz w:val="20"/>
                <w:szCs w:val="20"/>
              </w:rPr>
            </w:pPr>
          </w:p>
        </w:tc>
        <w:tc>
          <w:tcPr>
            <w:tcW w:w="2250" w:type="dxa"/>
            <w:tcBorders>
              <w:top w:val="single" w:sz="4" w:space="0" w:color="auto"/>
              <w:bottom w:val="single" w:sz="4" w:space="0" w:color="auto"/>
            </w:tcBorders>
            <w:shd w:val="clear" w:color="auto" w:fill="FFE599" w:themeFill="accent4" w:themeFillTint="66"/>
          </w:tcPr>
          <w:p w14:paraId="4C86D589" w14:textId="50F23C28" w:rsidR="0042249B" w:rsidRPr="005949EB" w:rsidRDefault="0042249B" w:rsidP="00B606BE">
            <w:pPr>
              <w:spacing w:line="259" w:lineRule="auto"/>
              <w:jc w:val="center"/>
              <w:rPr>
                <w:rFonts w:ascii="Open Sans" w:eastAsiaTheme="minorEastAsia" w:hAnsi="Open Sans" w:cs="Open Sans"/>
                <w:sz w:val="20"/>
                <w:szCs w:val="20"/>
              </w:rPr>
            </w:pPr>
          </w:p>
        </w:tc>
        <w:tc>
          <w:tcPr>
            <w:tcW w:w="2340" w:type="dxa"/>
            <w:tcBorders>
              <w:top w:val="single" w:sz="4" w:space="0" w:color="auto"/>
              <w:bottom w:val="single" w:sz="4" w:space="0" w:color="auto"/>
            </w:tcBorders>
            <w:shd w:val="clear" w:color="auto" w:fill="C5E0B3" w:themeFill="accent6" w:themeFillTint="66"/>
          </w:tcPr>
          <w:p w14:paraId="6BBAC441" w14:textId="6713FEBC" w:rsidR="0042249B" w:rsidRPr="005949EB" w:rsidRDefault="002E0645" w:rsidP="00B606BE">
            <w:pPr>
              <w:jc w:val="center"/>
              <w:rPr>
                <w:rFonts w:ascii="Open Sans" w:eastAsiaTheme="minorEastAsia" w:hAnsi="Open Sans" w:cs="Open Sans"/>
                <w:kern w:val="0"/>
                <w:sz w:val="20"/>
                <w:szCs w:val="20"/>
                <w14:ligatures w14:val="none"/>
              </w:rPr>
            </w:pPr>
            <w:r w:rsidRPr="001E0680">
              <w:rPr>
                <w:rFonts w:ascii="Open Sans" w:eastAsiaTheme="minorEastAsia" w:hAnsi="Open Sans" w:cs="Open Sans"/>
                <w:b/>
                <w:bCs/>
                <w:sz w:val="56"/>
                <w:szCs w:val="56"/>
              </w:rPr>
              <w:t>X</w:t>
            </w:r>
          </w:p>
        </w:tc>
      </w:tr>
      <w:tr w:rsidR="00C64402" w:rsidRPr="005949EB" w14:paraId="0B6F560D" w14:textId="77777777" w:rsidTr="00831C16">
        <w:trPr>
          <w:trHeight w:val="300"/>
        </w:trPr>
        <w:tc>
          <w:tcPr>
            <w:tcW w:w="2790" w:type="dxa"/>
            <w:tcBorders>
              <w:top w:val="single" w:sz="4" w:space="0" w:color="auto"/>
              <w:bottom w:val="single" w:sz="4" w:space="0" w:color="auto"/>
            </w:tcBorders>
          </w:tcPr>
          <w:p w14:paraId="05959EF5" w14:textId="77777777" w:rsidR="00C64402" w:rsidRPr="005949EB" w:rsidRDefault="00C64402" w:rsidP="001B11AE">
            <w:pPr>
              <w:rPr>
                <w:rFonts w:ascii="Open Sans" w:eastAsiaTheme="majorEastAsia" w:hAnsi="Open Sans" w:cs="Open Sans"/>
                <w:color w:val="2F5496" w:themeColor="accent1" w:themeShade="BF"/>
              </w:rPr>
            </w:pPr>
            <w:r w:rsidRPr="005949EB">
              <w:rPr>
                <w:rFonts w:ascii="Open Sans" w:eastAsiaTheme="majorEastAsia" w:hAnsi="Open Sans" w:cs="Open Sans"/>
                <w:color w:val="2F5496" w:themeColor="accent1" w:themeShade="BF"/>
              </w:rPr>
              <w:t xml:space="preserve"> Rationale --&gt;</w:t>
            </w:r>
          </w:p>
        </w:tc>
        <w:tc>
          <w:tcPr>
            <w:tcW w:w="6930" w:type="dxa"/>
            <w:gridSpan w:val="3"/>
            <w:tcBorders>
              <w:top w:val="single" w:sz="4" w:space="0" w:color="auto"/>
              <w:bottom w:val="single" w:sz="4" w:space="0" w:color="auto"/>
            </w:tcBorders>
          </w:tcPr>
          <w:p w14:paraId="57FFCD2F" w14:textId="693E8B90" w:rsidR="00C64402" w:rsidRPr="005949EB" w:rsidRDefault="002E0645" w:rsidP="001B11AE">
            <w:pPr>
              <w:rPr>
                <w:rFonts w:ascii="Open Sans" w:hAnsi="Open Sans" w:cs="Open Sans"/>
                <w:sz w:val="20"/>
                <w:szCs w:val="20"/>
              </w:rPr>
            </w:pPr>
            <w:r>
              <w:rPr>
                <w:rFonts w:ascii="Open Sans" w:hAnsi="Open Sans" w:cs="Open Sans"/>
                <w:sz w:val="20"/>
                <w:szCs w:val="20"/>
              </w:rPr>
              <w:t>Temperature influence</w:t>
            </w:r>
            <w:r w:rsidR="000428D2">
              <w:rPr>
                <w:rFonts w:ascii="Open Sans" w:hAnsi="Open Sans" w:cs="Open Sans"/>
                <w:sz w:val="20"/>
                <w:szCs w:val="20"/>
              </w:rPr>
              <w:t>s</w:t>
            </w:r>
            <w:r>
              <w:rPr>
                <w:rFonts w:ascii="Open Sans" w:hAnsi="Open Sans" w:cs="Open Sans"/>
                <w:sz w:val="20"/>
                <w:szCs w:val="20"/>
              </w:rPr>
              <w:t xml:space="preserve"> Dissolved Oxygen concentration in the water, which in turn influence system capacity of </w:t>
            </w:r>
            <w:r w:rsidR="0067696E">
              <w:rPr>
                <w:rFonts w:ascii="Open Sans" w:hAnsi="Open Sans" w:cs="Open Sans"/>
                <w:sz w:val="20"/>
                <w:szCs w:val="20"/>
              </w:rPr>
              <w:t>Salish Sucker</w:t>
            </w:r>
            <w:r>
              <w:rPr>
                <w:rFonts w:ascii="Open Sans" w:hAnsi="Open Sans" w:cs="Open Sans"/>
                <w:sz w:val="20"/>
                <w:szCs w:val="20"/>
              </w:rPr>
              <w:t xml:space="preserve">.  However, </w:t>
            </w:r>
            <w:r w:rsidR="000428D2">
              <w:rPr>
                <w:rFonts w:ascii="Open Sans" w:hAnsi="Open Sans" w:cs="Open Sans"/>
                <w:sz w:val="20"/>
                <w:szCs w:val="20"/>
              </w:rPr>
              <w:t xml:space="preserve">an independent </w:t>
            </w:r>
            <w:r>
              <w:rPr>
                <w:rFonts w:ascii="Open Sans" w:hAnsi="Open Sans" w:cs="Open Sans"/>
                <w:sz w:val="20"/>
                <w:szCs w:val="20"/>
              </w:rPr>
              <w:t xml:space="preserve">stressor-response function has been derived </w:t>
            </w:r>
            <w:r w:rsidR="000428D2">
              <w:rPr>
                <w:rFonts w:ascii="Open Sans" w:hAnsi="Open Sans" w:cs="Open Sans"/>
                <w:sz w:val="20"/>
                <w:szCs w:val="20"/>
              </w:rPr>
              <w:t xml:space="preserve">for the </w:t>
            </w:r>
            <w:r>
              <w:rPr>
                <w:rFonts w:ascii="Open Sans" w:hAnsi="Open Sans" w:cs="Open Sans"/>
                <w:sz w:val="20"/>
                <w:szCs w:val="20"/>
              </w:rPr>
              <w:t xml:space="preserve">effect of DO on system capacity of </w:t>
            </w:r>
            <w:r w:rsidR="0067696E">
              <w:rPr>
                <w:rFonts w:ascii="Open Sans" w:hAnsi="Open Sans" w:cs="Open Sans"/>
                <w:sz w:val="20"/>
                <w:szCs w:val="20"/>
              </w:rPr>
              <w:t>Salish Sucker</w:t>
            </w:r>
            <w:r>
              <w:rPr>
                <w:rFonts w:ascii="Open Sans" w:hAnsi="Open Sans" w:cs="Open Sans"/>
                <w:sz w:val="20"/>
                <w:szCs w:val="20"/>
              </w:rPr>
              <w:t xml:space="preserve">.  </w:t>
            </w:r>
            <w:r w:rsidR="00D706F3" w:rsidRPr="005949EB">
              <w:rPr>
                <w:rFonts w:ascii="Open Sans" w:hAnsi="Open Sans" w:cs="Open Sans"/>
                <w:sz w:val="20"/>
                <w:szCs w:val="20"/>
              </w:rPr>
              <w:t xml:space="preserve"> </w:t>
            </w:r>
          </w:p>
        </w:tc>
      </w:tr>
    </w:tbl>
    <w:p w14:paraId="10A82198" w14:textId="115D75C4" w:rsidR="00C5276A" w:rsidRDefault="00C5276A" w:rsidP="005B48F0">
      <w:pPr>
        <w:pStyle w:val="Heading1"/>
        <w:spacing w:before="0" w:line="240" w:lineRule="auto"/>
        <w:rPr>
          <w:rFonts w:ascii="Open Sans SemiBold" w:hAnsi="Open Sans SemiBold" w:cs="Open Sans SemiBold"/>
          <w:color w:val="004848"/>
        </w:rPr>
      </w:pPr>
      <w:r w:rsidRPr="005949EB">
        <w:rPr>
          <w:rFonts w:ascii="Open Sans SemiBold" w:hAnsi="Open Sans SemiBold" w:cs="Open Sans SemiBold"/>
          <w:color w:val="004848"/>
        </w:rPr>
        <w:t>Recommended Citation</w:t>
      </w:r>
    </w:p>
    <w:p w14:paraId="5E2332D8" w14:textId="77777777" w:rsidR="00712023" w:rsidRPr="00712023" w:rsidRDefault="00712023" w:rsidP="00712023"/>
    <w:p w14:paraId="1D1D7201" w14:textId="5BBFC804" w:rsidR="00C5276A" w:rsidRPr="005949EB" w:rsidRDefault="00C5276A" w:rsidP="00C5276A">
      <w:pPr>
        <w:rPr>
          <w:rFonts w:ascii="Open Sans" w:hAnsi="Open Sans" w:cs="Open Sans"/>
        </w:rPr>
      </w:pPr>
      <w:r w:rsidRPr="005949EB">
        <w:rPr>
          <w:rFonts w:ascii="Open Sans" w:hAnsi="Open Sans" w:cs="Open Sans"/>
        </w:rPr>
        <w:t>This document should be cited as:</w:t>
      </w:r>
    </w:p>
    <w:p w14:paraId="23819701" w14:textId="490E2DC0" w:rsidR="00B93E65" w:rsidRPr="004D3D0C" w:rsidRDefault="008C4B96" w:rsidP="004D3D0C">
      <w:pPr>
        <w:spacing w:after="100" w:afterAutospacing="1" w:line="240" w:lineRule="auto"/>
        <w:ind w:left="720" w:hanging="720"/>
        <w:rPr>
          <w:rFonts w:ascii="Open Sans" w:hAnsi="Open Sans" w:cs="Open Sans"/>
        </w:rPr>
      </w:pPr>
      <w:bookmarkStart w:id="1" w:name="_Hlk176350597"/>
      <w:r>
        <w:rPr>
          <w:rFonts w:ascii="Open Sans" w:hAnsi="Open Sans" w:cs="Open Sans"/>
        </w:rPr>
        <w:t>Usoof, A.M. and Rosenfeld, J.S.</w:t>
      </w:r>
      <w:r w:rsidR="00C04F79" w:rsidRPr="005949EB">
        <w:rPr>
          <w:rFonts w:ascii="Open Sans" w:hAnsi="Open Sans" w:cs="Open Sans"/>
        </w:rPr>
        <w:t xml:space="preserve"> 2024. </w:t>
      </w:r>
      <w:bookmarkEnd w:id="1"/>
      <w:r w:rsidR="002C69F5" w:rsidRPr="005949EB">
        <w:rPr>
          <w:rFonts w:ascii="Open Sans" w:hAnsi="Open Sans" w:cs="Open Sans"/>
        </w:rPr>
        <w:t xml:space="preserve">Relationship between </w:t>
      </w:r>
      <w:r w:rsidR="002C69F5">
        <w:rPr>
          <w:rFonts w:ascii="Open Sans" w:hAnsi="Open Sans" w:cs="Open Sans"/>
        </w:rPr>
        <w:t>system capacity</w:t>
      </w:r>
      <w:r w:rsidR="002C69F5" w:rsidRPr="005949EB">
        <w:rPr>
          <w:rFonts w:ascii="Open Sans" w:hAnsi="Open Sans" w:cs="Open Sans"/>
        </w:rPr>
        <w:t xml:space="preserve"> and </w:t>
      </w:r>
      <w:r w:rsidR="00F872F8">
        <w:rPr>
          <w:rFonts w:ascii="Open Sans" w:hAnsi="Open Sans" w:cs="Open Sans"/>
        </w:rPr>
        <w:t>mean water</w:t>
      </w:r>
      <w:r w:rsidR="002C69F5">
        <w:rPr>
          <w:rFonts w:ascii="Open Sans" w:hAnsi="Open Sans" w:cs="Open Sans"/>
        </w:rPr>
        <w:t xml:space="preserve"> temperature for </w:t>
      </w:r>
      <w:r w:rsidR="00F872F8">
        <w:rPr>
          <w:rFonts w:ascii="Open Sans" w:hAnsi="Open Sans" w:cs="Open Sans"/>
        </w:rPr>
        <w:t>Salish Sucker</w:t>
      </w:r>
      <w:r w:rsidR="002C69F5" w:rsidRPr="005949EB">
        <w:rPr>
          <w:rFonts w:ascii="Open Sans" w:hAnsi="Open Sans" w:cs="Open Sans"/>
        </w:rPr>
        <w:t>.</w:t>
      </w:r>
    </w:p>
    <w:p w14:paraId="22BF6A15" w14:textId="5051331E" w:rsidR="00EE401F" w:rsidRPr="005949EB" w:rsidRDefault="00EE401F" w:rsidP="00EE401F">
      <w:pPr>
        <w:rPr>
          <w:rFonts w:ascii="Segoe UI" w:hAnsi="Segoe UI" w:cs="Segoe UI"/>
          <w:b/>
          <w:bCs/>
          <w:color w:val="2F5496" w:themeColor="accent1" w:themeShade="BF"/>
        </w:rPr>
      </w:pPr>
      <w:r w:rsidRPr="005949EB">
        <w:rPr>
          <w:rFonts w:ascii="Segoe UI" w:hAnsi="Segoe UI" w:cs="Segoe UI"/>
          <w:b/>
          <w:bCs/>
          <w:color w:val="2F5496" w:themeColor="accent1" w:themeShade="BF"/>
          <w:sz w:val="24"/>
          <w:szCs w:val="24"/>
        </w:rPr>
        <w:t>______________________________________________________________________________</w:t>
      </w:r>
      <w:r w:rsidR="00DB180F" w:rsidRPr="005949EB">
        <w:rPr>
          <w:rFonts w:ascii="Segoe UI" w:hAnsi="Segoe UI" w:cs="Segoe UI"/>
          <w:b/>
          <w:bCs/>
          <w:color w:val="2F5496" w:themeColor="accent1" w:themeShade="BF"/>
          <w:sz w:val="24"/>
          <w:szCs w:val="24"/>
        </w:rPr>
        <w:t>_______________</w:t>
      </w:r>
    </w:p>
    <w:p w14:paraId="6315983D" w14:textId="3FFDF478" w:rsidR="00E63770" w:rsidRDefault="00283331" w:rsidP="00F872F8">
      <w:pPr>
        <w:pStyle w:val="Heading1"/>
        <w:spacing w:before="0" w:line="240" w:lineRule="auto"/>
        <w:rPr>
          <w:rFonts w:ascii="Open Sans SemiBold" w:hAnsi="Open Sans SemiBold" w:cs="Open Sans SemiBold"/>
          <w:color w:val="004848"/>
        </w:rPr>
      </w:pPr>
      <w:r w:rsidRPr="005949EB">
        <w:rPr>
          <w:rFonts w:ascii="Open Sans SemiBold" w:hAnsi="Open Sans SemiBold" w:cs="Open Sans SemiBold"/>
          <w:color w:val="004848"/>
        </w:rPr>
        <w:t xml:space="preserve">References </w:t>
      </w:r>
    </w:p>
    <w:p w14:paraId="4F4C7672" w14:textId="77777777" w:rsidR="00F872F8" w:rsidRPr="00F872F8" w:rsidRDefault="00F872F8" w:rsidP="00F872F8"/>
    <w:p w14:paraId="44DC972F" w14:textId="569C24AC" w:rsidR="00256DEF" w:rsidRPr="00256DEF" w:rsidRDefault="00F872F8" w:rsidP="00256DEF">
      <w:pPr>
        <w:widowControl w:val="0"/>
        <w:autoSpaceDE w:val="0"/>
        <w:autoSpaceDN w:val="0"/>
        <w:adjustRightInd w:val="0"/>
        <w:spacing w:line="240" w:lineRule="auto"/>
        <w:ind w:left="480" w:hanging="480"/>
        <w:rPr>
          <w:rFonts w:ascii="Open Sans" w:hAnsi="Open Sans" w:cs="Open Sans"/>
          <w:noProof/>
        </w:rPr>
      </w:pPr>
      <w:r w:rsidRPr="00F872F8">
        <w:rPr>
          <w:rFonts w:ascii="Open Sans" w:hAnsi="Open Sans" w:cs="Open Sans"/>
        </w:rPr>
        <w:fldChar w:fldCharType="begin" w:fldLock="1"/>
      </w:r>
      <w:r w:rsidRPr="00F872F8">
        <w:rPr>
          <w:rFonts w:ascii="Open Sans" w:hAnsi="Open Sans" w:cs="Open Sans"/>
        </w:rPr>
        <w:instrText xml:space="preserve">ADDIN Mendeley Bibliography CSL_BIBLIOGRAPHY </w:instrText>
      </w:r>
      <w:r w:rsidRPr="00F872F8">
        <w:rPr>
          <w:rFonts w:ascii="Open Sans" w:hAnsi="Open Sans" w:cs="Open Sans"/>
        </w:rPr>
        <w:fldChar w:fldCharType="separate"/>
      </w:r>
      <w:r w:rsidR="00256DEF" w:rsidRPr="00256DEF">
        <w:rPr>
          <w:rFonts w:ascii="Open Sans" w:hAnsi="Open Sans" w:cs="Open Sans"/>
          <w:noProof/>
        </w:rPr>
        <w:t>Edwards, E. A. 1983. Habitat Suitability Index Models: Longnose Sucker. U.S. Dept. Int., FishWildl. Serv. FWS/OBS-82/10.35.</w:t>
      </w:r>
    </w:p>
    <w:p w14:paraId="5DA0CEAC" w14:textId="0D4236E9" w:rsidR="00256DEF" w:rsidRPr="00256DEF" w:rsidRDefault="00256DEF" w:rsidP="00256DEF">
      <w:pPr>
        <w:widowControl w:val="0"/>
        <w:autoSpaceDE w:val="0"/>
        <w:autoSpaceDN w:val="0"/>
        <w:adjustRightInd w:val="0"/>
        <w:spacing w:line="240" w:lineRule="auto"/>
        <w:ind w:left="480" w:hanging="480"/>
        <w:rPr>
          <w:rFonts w:ascii="Open Sans" w:hAnsi="Open Sans" w:cs="Open Sans"/>
          <w:noProof/>
        </w:rPr>
      </w:pPr>
      <w:r w:rsidRPr="00256DEF">
        <w:rPr>
          <w:rFonts w:ascii="Open Sans" w:hAnsi="Open Sans" w:cs="Open Sans"/>
          <w:noProof/>
        </w:rPr>
        <w:t xml:space="preserve">Pearson, M. P. 2004. The ecology, status and recovery prospects of Noonsack Dace (Rhinichthys Cataractae ssp.) and Salish Sucker (Catostomus sp.) in Canada. </w:t>
      </w:r>
      <w:r w:rsidR="00433D28">
        <w:rPr>
          <w:rFonts w:ascii="Open Sans" w:hAnsi="Open Sans" w:cs="Open Sans"/>
          <w:noProof/>
        </w:rPr>
        <w:t xml:space="preserve">PhD Thesis. </w:t>
      </w:r>
      <w:r w:rsidRPr="00256DEF">
        <w:rPr>
          <w:rFonts w:ascii="Open Sans" w:hAnsi="Open Sans" w:cs="Open Sans"/>
          <w:noProof/>
        </w:rPr>
        <w:t>University of British Columbia.</w:t>
      </w:r>
    </w:p>
    <w:p w14:paraId="7D258C33" w14:textId="2CDD2F48" w:rsidR="00256DEF" w:rsidRPr="00256DEF" w:rsidRDefault="00256DEF" w:rsidP="00256DEF">
      <w:pPr>
        <w:widowControl w:val="0"/>
        <w:autoSpaceDE w:val="0"/>
        <w:autoSpaceDN w:val="0"/>
        <w:adjustRightInd w:val="0"/>
        <w:spacing w:line="240" w:lineRule="auto"/>
        <w:ind w:left="480" w:hanging="480"/>
        <w:rPr>
          <w:rFonts w:ascii="Open Sans" w:hAnsi="Open Sans" w:cs="Open Sans"/>
          <w:noProof/>
        </w:rPr>
      </w:pPr>
      <w:r w:rsidRPr="00256DEF">
        <w:rPr>
          <w:rFonts w:ascii="Open Sans" w:hAnsi="Open Sans" w:cs="Open Sans"/>
          <w:noProof/>
        </w:rPr>
        <w:t xml:space="preserve">Ramirez, S. Z. 2024. Modelling the impact of human development and water quality on hypoxia. </w:t>
      </w:r>
      <w:r w:rsidR="00433D28">
        <w:rPr>
          <w:rFonts w:ascii="Open Sans" w:hAnsi="Open Sans" w:cs="Open Sans"/>
          <w:noProof/>
        </w:rPr>
        <w:t xml:space="preserve">MSc Thesis. </w:t>
      </w:r>
      <w:r w:rsidRPr="00256DEF">
        <w:rPr>
          <w:rFonts w:ascii="Open Sans" w:hAnsi="Open Sans" w:cs="Open Sans"/>
          <w:noProof/>
        </w:rPr>
        <w:t>University of British Columbia.</w:t>
      </w:r>
    </w:p>
    <w:p w14:paraId="24807A10" w14:textId="77777777" w:rsidR="00256DEF" w:rsidRPr="00256DEF" w:rsidRDefault="00256DEF" w:rsidP="00256DEF">
      <w:pPr>
        <w:widowControl w:val="0"/>
        <w:autoSpaceDE w:val="0"/>
        <w:autoSpaceDN w:val="0"/>
        <w:adjustRightInd w:val="0"/>
        <w:spacing w:line="240" w:lineRule="auto"/>
        <w:ind w:left="480" w:hanging="480"/>
        <w:rPr>
          <w:rFonts w:ascii="Open Sans" w:hAnsi="Open Sans" w:cs="Open Sans"/>
          <w:noProof/>
        </w:rPr>
      </w:pPr>
      <w:r w:rsidRPr="00256DEF">
        <w:rPr>
          <w:rFonts w:ascii="Open Sans" w:hAnsi="Open Sans" w:cs="Open Sans"/>
          <w:noProof/>
        </w:rPr>
        <w:t>Rosenfeld, J., M. P. Pearson, J. Miners, and K. Zinn. 2021. Effects of landscape-scale hypoxia on Salish sucker and salmonid habitat associations</w:t>
      </w:r>
      <w:r w:rsidRPr="00256DEF">
        <w:rPr>
          <w:rFonts w:ascii="Arial" w:hAnsi="Arial" w:cs="Arial"/>
          <w:noProof/>
        </w:rPr>
        <w:t> </w:t>
      </w:r>
      <w:r w:rsidRPr="00256DEF">
        <w:rPr>
          <w:rFonts w:ascii="Open Sans" w:hAnsi="Open Sans" w:cs="Open Sans"/>
          <w:noProof/>
        </w:rPr>
        <w:t>: implications for endangered 1233:1219–1233.</w:t>
      </w:r>
    </w:p>
    <w:p w14:paraId="6FD78343" w14:textId="77777777" w:rsidR="00256DEF" w:rsidRPr="00256DEF" w:rsidRDefault="00256DEF" w:rsidP="00256DEF">
      <w:pPr>
        <w:widowControl w:val="0"/>
        <w:autoSpaceDE w:val="0"/>
        <w:autoSpaceDN w:val="0"/>
        <w:adjustRightInd w:val="0"/>
        <w:spacing w:line="240" w:lineRule="auto"/>
        <w:ind w:left="480" w:hanging="480"/>
        <w:rPr>
          <w:rFonts w:ascii="Open Sans" w:hAnsi="Open Sans" w:cs="Open Sans"/>
          <w:noProof/>
        </w:rPr>
      </w:pPr>
      <w:r w:rsidRPr="00256DEF">
        <w:rPr>
          <w:rFonts w:ascii="Open Sans" w:hAnsi="Open Sans" w:cs="Open Sans"/>
          <w:noProof/>
        </w:rPr>
        <w:t>Weller, J. D., R. D. D. Moore, J. C. Iacarella, J. D. Weller, R. D. D. Moore, J. C. I. Nov, and J. D. Weller. 2023. Thermalscape scenarios for British Columbia , Canada. Canadian Water Resources Journal / Revue canadienne des ressources hydriques.</w:t>
      </w:r>
    </w:p>
    <w:p w14:paraId="748955D2" w14:textId="4FB00EB0" w:rsidR="00F872F8" w:rsidRPr="00F872F8" w:rsidRDefault="00F872F8" w:rsidP="00E63770">
      <w:pPr>
        <w:rPr>
          <w:rFonts w:ascii="Open Sans" w:hAnsi="Open Sans" w:cs="Open Sans"/>
        </w:rPr>
      </w:pPr>
      <w:r w:rsidRPr="00F872F8">
        <w:rPr>
          <w:rFonts w:ascii="Open Sans" w:hAnsi="Open Sans" w:cs="Open Sans"/>
        </w:rPr>
        <w:lastRenderedPageBreak/>
        <w:fldChar w:fldCharType="end"/>
      </w:r>
    </w:p>
    <w:sectPr w:rsidR="00F872F8" w:rsidRPr="00F872F8">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3E6D88" w14:textId="77777777" w:rsidR="00EC3C6B" w:rsidRPr="005949EB" w:rsidRDefault="00EC3C6B" w:rsidP="00E7799D">
      <w:pPr>
        <w:spacing w:after="0" w:line="240" w:lineRule="auto"/>
      </w:pPr>
      <w:r w:rsidRPr="005949EB">
        <w:separator/>
      </w:r>
    </w:p>
  </w:endnote>
  <w:endnote w:type="continuationSeparator" w:id="0">
    <w:p w14:paraId="0A709437" w14:textId="77777777" w:rsidR="00EC3C6B" w:rsidRPr="005949EB" w:rsidRDefault="00EC3C6B" w:rsidP="00E7799D">
      <w:pPr>
        <w:spacing w:after="0" w:line="240" w:lineRule="auto"/>
      </w:pPr>
      <w:r w:rsidRPr="005949EB">
        <w:continuationSeparator/>
      </w:r>
    </w:p>
  </w:endnote>
  <w:endnote w:type="continuationNotice" w:id="1">
    <w:p w14:paraId="48A10141" w14:textId="77777777" w:rsidR="00EC3C6B" w:rsidRPr="005949EB" w:rsidRDefault="00EC3C6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pen Sans SemiBold">
    <w:altName w:val="Segoe UI"/>
    <w:charset w:val="00"/>
    <w:family w:val="swiss"/>
    <w:pitch w:val="variable"/>
    <w:sig w:usb0="E00002EF" w:usb1="4000205B" w:usb2="00000028" w:usb3="00000000" w:csb0="0000019F" w:csb1="00000000"/>
  </w:font>
  <w:font w:name="HelveticaNeueLTStd-Lt">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Open Sans">
    <w:altName w:val="Segoe UI"/>
    <w:charset w:val="00"/>
    <w:family w:val="swiss"/>
    <w:pitch w:val="variable"/>
    <w:sig w:usb0="E00002EF" w:usb1="4000205B" w:usb2="00000028" w:usb3="00000000" w:csb0="0000019F" w:csb1="00000000"/>
  </w:font>
  <w:font w:name="Open Sans Light">
    <w:altName w:val="Segoe UI"/>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84923876"/>
      <w:docPartObj>
        <w:docPartGallery w:val="Page Numbers (Bottom of Page)"/>
        <w:docPartUnique/>
      </w:docPartObj>
    </w:sdtPr>
    <w:sdtEndPr>
      <w:rPr>
        <w:rFonts w:ascii="Open Sans" w:hAnsi="Open Sans" w:cs="Open Sans"/>
        <w:sz w:val="20"/>
        <w:szCs w:val="20"/>
      </w:rPr>
    </w:sdtEndPr>
    <w:sdtContent>
      <w:p w14:paraId="5D88F19A" w14:textId="29A996B9" w:rsidR="00E7799D" w:rsidRPr="005949EB" w:rsidRDefault="00E7799D">
        <w:pPr>
          <w:pStyle w:val="Footer"/>
          <w:jc w:val="right"/>
          <w:rPr>
            <w:rFonts w:ascii="Open Sans" w:hAnsi="Open Sans" w:cs="Open Sans"/>
            <w:sz w:val="20"/>
            <w:szCs w:val="20"/>
          </w:rPr>
        </w:pPr>
        <w:r w:rsidRPr="005949EB">
          <w:rPr>
            <w:rFonts w:ascii="Open Sans" w:hAnsi="Open Sans" w:cs="Open Sans"/>
            <w:sz w:val="20"/>
            <w:szCs w:val="20"/>
          </w:rPr>
          <w:fldChar w:fldCharType="begin"/>
        </w:r>
        <w:r w:rsidRPr="005949EB">
          <w:rPr>
            <w:rFonts w:ascii="Open Sans" w:hAnsi="Open Sans" w:cs="Open Sans"/>
            <w:sz w:val="20"/>
            <w:szCs w:val="20"/>
          </w:rPr>
          <w:instrText xml:space="preserve"> PAGE   \* MERGEFORMAT </w:instrText>
        </w:r>
        <w:r w:rsidRPr="005949EB">
          <w:rPr>
            <w:rFonts w:ascii="Open Sans" w:hAnsi="Open Sans" w:cs="Open Sans"/>
            <w:sz w:val="20"/>
            <w:szCs w:val="20"/>
          </w:rPr>
          <w:fldChar w:fldCharType="separate"/>
        </w:r>
        <w:r w:rsidRPr="005949EB">
          <w:rPr>
            <w:rFonts w:ascii="Open Sans" w:hAnsi="Open Sans" w:cs="Open Sans"/>
            <w:sz w:val="20"/>
            <w:szCs w:val="20"/>
          </w:rPr>
          <w:t>2</w:t>
        </w:r>
        <w:r w:rsidRPr="005949EB">
          <w:rPr>
            <w:rFonts w:ascii="Open Sans" w:hAnsi="Open Sans" w:cs="Open Sans"/>
            <w:sz w:val="20"/>
            <w:szCs w:val="20"/>
          </w:rPr>
          <w:fldChar w:fldCharType="end"/>
        </w:r>
      </w:p>
    </w:sdtContent>
  </w:sdt>
  <w:p w14:paraId="3DA6CF0A" w14:textId="77777777" w:rsidR="00E7799D" w:rsidRPr="005949EB" w:rsidRDefault="00E779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230B88" w14:textId="77777777" w:rsidR="00EC3C6B" w:rsidRPr="005949EB" w:rsidRDefault="00EC3C6B" w:rsidP="00E7799D">
      <w:pPr>
        <w:spacing w:after="0" w:line="240" w:lineRule="auto"/>
      </w:pPr>
      <w:r w:rsidRPr="005949EB">
        <w:separator/>
      </w:r>
    </w:p>
  </w:footnote>
  <w:footnote w:type="continuationSeparator" w:id="0">
    <w:p w14:paraId="55CD143E" w14:textId="77777777" w:rsidR="00EC3C6B" w:rsidRPr="005949EB" w:rsidRDefault="00EC3C6B" w:rsidP="00E7799D">
      <w:pPr>
        <w:spacing w:after="0" w:line="240" w:lineRule="auto"/>
      </w:pPr>
      <w:r w:rsidRPr="005949EB">
        <w:continuationSeparator/>
      </w:r>
    </w:p>
  </w:footnote>
  <w:footnote w:type="continuationNotice" w:id="1">
    <w:p w14:paraId="6F0CB505" w14:textId="77777777" w:rsidR="00EC3C6B" w:rsidRPr="005949EB" w:rsidRDefault="00EC3C6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938403" w14:textId="6C8D1637" w:rsidR="00C368E1" w:rsidRPr="005949EB" w:rsidRDefault="00C368E1" w:rsidP="00762B7E">
    <w:pPr>
      <w:pStyle w:val="Header"/>
      <w:rPr>
        <w:rFonts w:ascii="Open Sans Light" w:hAnsi="Open Sans Light" w:cs="Open Sans Light"/>
        <w:sz w:val="20"/>
        <w:szCs w:val="20"/>
      </w:rPr>
    </w:pPr>
    <w:r w:rsidRPr="005949EB">
      <w:rPr>
        <w:rFonts w:ascii="Open Sans Light" w:hAnsi="Open Sans Light" w:cs="Open Sans Light"/>
        <w:sz w:val="20"/>
        <w:szCs w:val="20"/>
      </w:rPr>
      <w:t xml:space="preserve">Stressor-Response </w:t>
    </w:r>
    <w:r w:rsidR="00571DE7" w:rsidRPr="005949EB">
      <w:rPr>
        <w:rFonts w:ascii="Open Sans Light" w:hAnsi="Open Sans Light" w:cs="Open Sans Light"/>
        <w:sz w:val="20"/>
        <w:szCs w:val="20"/>
      </w:rPr>
      <w:t xml:space="preserve">Function </w:t>
    </w:r>
    <w:r w:rsidRPr="005949EB">
      <w:rPr>
        <w:rFonts w:ascii="Open Sans Light" w:hAnsi="Open Sans Light" w:cs="Open Sans Light"/>
        <w:sz w:val="20"/>
        <w:szCs w:val="20"/>
      </w:rPr>
      <w:t>Library Documentation</w:t>
    </w:r>
    <w:r w:rsidRPr="005949EB">
      <w:rPr>
        <w:rFonts w:ascii="Open Sans Light" w:hAnsi="Open Sans Light" w:cs="Open Sans Light"/>
        <w:sz w:val="20"/>
        <w:szCs w:val="20"/>
      </w:rPr>
      <w:tab/>
    </w:r>
    <w:r w:rsidRPr="005949EB">
      <w:rPr>
        <w:rFonts w:ascii="Open Sans Light" w:hAnsi="Open Sans Light" w:cs="Open Sans Light"/>
        <w:sz w:val="20"/>
        <w:szCs w:val="20"/>
      </w:rPr>
      <w:tab/>
    </w:r>
    <w:r w:rsidR="00C47B94" w:rsidRPr="005949EB">
      <w:rPr>
        <w:rFonts w:ascii="Open Sans Light" w:hAnsi="Open Sans Light" w:cs="Open Sans Light"/>
        <w:sz w:val="20"/>
        <w:szCs w:val="20"/>
      </w:rPr>
      <w:t xml:space="preserve"> </w: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6411F1"/>
    <w:multiLevelType w:val="hybridMultilevel"/>
    <w:tmpl w:val="75E07880"/>
    <w:lvl w:ilvl="0" w:tplc="BD44744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3C6E44"/>
    <w:multiLevelType w:val="hybridMultilevel"/>
    <w:tmpl w:val="A5066BA8"/>
    <w:lvl w:ilvl="0" w:tplc="2DA09DA8">
      <w:numFmt w:val="bullet"/>
      <w:lvlText w:val=""/>
      <w:lvlJc w:val="left"/>
      <w:pPr>
        <w:ind w:left="720" w:hanging="360"/>
      </w:pPr>
      <w:rPr>
        <w:rFonts w:ascii="Symbol" w:eastAsiaTheme="minorEastAsia"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524053588">
    <w:abstractNumId w:val="1"/>
  </w:num>
  <w:num w:numId="2" w16cid:durableId="14367107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C3MDY1NDc3NDQzMTRS0lEKTi0uzszPAykwMa4FAJ5ss/stAAAA"/>
  </w:docVars>
  <w:rsids>
    <w:rsidRoot w:val="00EE401F"/>
    <w:rsid w:val="00000FFE"/>
    <w:rsid w:val="00001038"/>
    <w:rsid w:val="00001D79"/>
    <w:rsid w:val="0000264E"/>
    <w:rsid w:val="000029A9"/>
    <w:rsid w:val="0000394A"/>
    <w:rsid w:val="00003B6A"/>
    <w:rsid w:val="00005792"/>
    <w:rsid w:val="000062F6"/>
    <w:rsid w:val="00007BF7"/>
    <w:rsid w:val="000101B0"/>
    <w:rsid w:val="00010BC2"/>
    <w:rsid w:val="00011382"/>
    <w:rsid w:val="00015839"/>
    <w:rsid w:val="00016078"/>
    <w:rsid w:val="000165A3"/>
    <w:rsid w:val="00016D31"/>
    <w:rsid w:val="0001769F"/>
    <w:rsid w:val="00017BF6"/>
    <w:rsid w:val="00020003"/>
    <w:rsid w:val="00021C72"/>
    <w:rsid w:val="00022F54"/>
    <w:rsid w:val="00023826"/>
    <w:rsid w:val="00024020"/>
    <w:rsid w:val="000245F0"/>
    <w:rsid w:val="00024DBB"/>
    <w:rsid w:val="00024F0A"/>
    <w:rsid w:val="00025FE9"/>
    <w:rsid w:val="00031AD9"/>
    <w:rsid w:val="000320D2"/>
    <w:rsid w:val="00032678"/>
    <w:rsid w:val="0003276E"/>
    <w:rsid w:val="000355E1"/>
    <w:rsid w:val="00036F9C"/>
    <w:rsid w:val="00041020"/>
    <w:rsid w:val="00041823"/>
    <w:rsid w:val="00041C7F"/>
    <w:rsid w:val="000428D2"/>
    <w:rsid w:val="0004351C"/>
    <w:rsid w:val="00043A61"/>
    <w:rsid w:val="0004418D"/>
    <w:rsid w:val="0004514A"/>
    <w:rsid w:val="000456D5"/>
    <w:rsid w:val="000465B9"/>
    <w:rsid w:val="00047B22"/>
    <w:rsid w:val="00050786"/>
    <w:rsid w:val="00052045"/>
    <w:rsid w:val="00052C98"/>
    <w:rsid w:val="00053690"/>
    <w:rsid w:val="0005552E"/>
    <w:rsid w:val="00055AB0"/>
    <w:rsid w:val="00060C85"/>
    <w:rsid w:val="00060F5D"/>
    <w:rsid w:val="00061A99"/>
    <w:rsid w:val="000621D5"/>
    <w:rsid w:val="00064DDD"/>
    <w:rsid w:val="000668C5"/>
    <w:rsid w:val="00067340"/>
    <w:rsid w:val="00073581"/>
    <w:rsid w:val="00073C5E"/>
    <w:rsid w:val="000747D3"/>
    <w:rsid w:val="00074C02"/>
    <w:rsid w:val="00074DAE"/>
    <w:rsid w:val="0008042F"/>
    <w:rsid w:val="00080A06"/>
    <w:rsid w:val="00080D29"/>
    <w:rsid w:val="00081E0B"/>
    <w:rsid w:val="000820E3"/>
    <w:rsid w:val="00082741"/>
    <w:rsid w:val="0008336B"/>
    <w:rsid w:val="00084527"/>
    <w:rsid w:val="00084636"/>
    <w:rsid w:val="00084863"/>
    <w:rsid w:val="000851AA"/>
    <w:rsid w:val="000851CB"/>
    <w:rsid w:val="000857A3"/>
    <w:rsid w:val="0008595E"/>
    <w:rsid w:val="00087A59"/>
    <w:rsid w:val="00087B32"/>
    <w:rsid w:val="00091F44"/>
    <w:rsid w:val="00091F7A"/>
    <w:rsid w:val="00092081"/>
    <w:rsid w:val="00092DDC"/>
    <w:rsid w:val="00092DE3"/>
    <w:rsid w:val="0009405B"/>
    <w:rsid w:val="00095F45"/>
    <w:rsid w:val="0009660D"/>
    <w:rsid w:val="00097CCB"/>
    <w:rsid w:val="000A15BE"/>
    <w:rsid w:val="000A2B63"/>
    <w:rsid w:val="000A3D04"/>
    <w:rsid w:val="000A4060"/>
    <w:rsid w:val="000A4CAB"/>
    <w:rsid w:val="000A56D4"/>
    <w:rsid w:val="000A795C"/>
    <w:rsid w:val="000B1E9A"/>
    <w:rsid w:val="000B1EEB"/>
    <w:rsid w:val="000B3512"/>
    <w:rsid w:val="000B4939"/>
    <w:rsid w:val="000B4C45"/>
    <w:rsid w:val="000B5169"/>
    <w:rsid w:val="000B54F2"/>
    <w:rsid w:val="000C05EC"/>
    <w:rsid w:val="000C1EAA"/>
    <w:rsid w:val="000C2027"/>
    <w:rsid w:val="000C284C"/>
    <w:rsid w:val="000C2C70"/>
    <w:rsid w:val="000C320E"/>
    <w:rsid w:val="000C3263"/>
    <w:rsid w:val="000C3DAE"/>
    <w:rsid w:val="000C67A4"/>
    <w:rsid w:val="000C7EB5"/>
    <w:rsid w:val="000D1C4F"/>
    <w:rsid w:val="000D2D37"/>
    <w:rsid w:val="000D5AF7"/>
    <w:rsid w:val="000D648C"/>
    <w:rsid w:val="000D676B"/>
    <w:rsid w:val="000D77AF"/>
    <w:rsid w:val="000D7BFF"/>
    <w:rsid w:val="000E06EA"/>
    <w:rsid w:val="000E4A9D"/>
    <w:rsid w:val="000E4ACE"/>
    <w:rsid w:val="000E5853"/>
    <w:rsid w:val="000E5DC6"/>
    <w:rsid w:val="000E5EC1"/>
    <w:rsid w:val="000E74A5"/>
    <w:rsid w:val="000F068E"/>
    <w:rsid w:val="000F1975"/>
    <w:rsid w:val="0010067A"/>
    <w:rsid w:val="001014FA"/>
    <w:rsid w:val="00102880"/>
    <w:rsid w:val="001037BA"/>
    <w:rsid w:val="00106929"/>
    <w:rsid w:val="001071E8"/>
    <w:rsid w:val="00107DC5"/>
    <w:rsid w:val="00111BAA"/>
    <w:rsid w:val="00112C11"/>
    <w:rsid w:val="00112E2A"/>
    <w:rsid w:val="0011392E"/>
    <w:rsid w:val="001149C6"/>
    <w:rsid w:val="00114DCE"/>
    <w:rsid w:val="00115F06"/>
    <w:rsid w:val="0011633C"/>
    <w:rsid w:val="0011680D"/>
    <w:rsid w:val="00116FA9"/>
    <w:rsid w:val="00117BB2"/>
    <w:rsid w:val="00120754"/>
    <w:rsid w:val="00121EAA"/>
    <w:rsid w:val="00121EB9"/>
    <w:rsid w:val="001225FE"/>
    <w:rsid w:val="00122644"/>
    <w:rsid w:val="00122F84"/>
    <w:rsid w:val="001240CA"/>
    <w:rsid w:val="001242C2"/>
    <w:rsid w:val="001253A5"/>
    <w:rsid w:val="00127D66"/>
    <w:rsid w:val="001303AA"/>
    <w:rsid w:val="00130421"/>
    <w:rsid w:val="001305B1"/>
    <w:rsid w:val="00130A42"/>
    <w:rsid w:val="001310D2"/>
    <w:rsid w:val="0013110E"/>
    <w:rsid w:val="00132D2D"/>
    <w:rsid w:val="00133AD6"/>
    <w:rsid w:val="001344E2"/>
    <w:rsid w:val="001347E6"/>
    <w:rsid w:val="00137158"/>
    <w:rsid w:val="001376D5"/>
    <w:rsid w:val="001406FF"/>
    <w:rsid w:val="00140C6C"/>
    <w:rsid w:val="001420C8"/>
    <w:rsid w:val="00142F1D"/>
    <w:rsid w:val="00143A0E"/>
    <w:rsid w:val="00143C94"/>
    <w:rsid w:val="001443E1"/>
    <w:rsid w:val="00145862"/>
    <w:rsid w:val="00151B6B"/>
    <w:rsid w:val="00154482"/>
    <w:rsid w:val="0015496B"/>
    <w:rsid w:val="00155CE3"/>
    <w:rsid w:val="001562BE"/>
    <w:rsid w:val="0015760F"/>
    <w:rsid w:val="001605BC"/>
    <w:rsid w:val="00161008"/>
    <w:rsid w:val="0016189E"/>
    <w:rsid w:val="001624F8"/>
    <w:rsid w:val="00164660"/>
    <w:rsid w:val="001651DF"/>
    <w:rsid w:val="00165546"/>
    <w:rsid w:val="00165BF9"/>
    <w:rsid w:val="00165F50"/>
    <w:rsid w:val="00170158"/>
    <w:rsid w:val="0017098E"/>
    <w:rsid w:val="00170CC2"/>
    <w:rsid w:val="001726D2"/>
    <w:rsid w:val="001738B7"/>
    <w:rsid w:val="001752D9"/>
    <w:rsid w:val="00175E17"/>
    <w:rsid w:val="001763D6"/>
    <w:rsid w:val="00180ED3"/>
    <w:rsid w:val="00182318"/>
    <w:rsid w:val="001827F3"/>
    <w:rsid w:val="00182F29"/>
    <w:rsid w:val="0018365C"/>
    <w:rsid w:val="00184F4D"/>
    <w:rsid w:val="001858E1"/>
    <w:rsid w:val="00187448"/>
    <w:rsid w:val="00191AC7"/>
    <w:rsid w:val="00192EB7"/>
    <w:rsid w:val="00193B4A"/>
    <w:rsid w:val="00194DC1"/>
    <w:rsid w:val="0019576C"/>
    <w:rsid w:val="00195A94"/>
    <w:rsid w:val="00196385"/>
    <w:rsid w:val="001A0479"/>
    <w:rsid w:val="001A17D3"/>
    <w:rsid w:val="001A1DEF"/>
    <w:rsid w:val="001A262B"/>
    <w:rsid w:val="001A2BC3"/>
    <w:rsid w:val="001A389E"/>
    <w:rsid w:val="001A4049"/>
    <w:rsid w:val="001A515D"/>
    <w:rsid w:val="001A603C"/>
    <w:rsid w:val="001B0A91"/>
    <w:rsid w:val="001B11AE"/>
    <w:rsid w:val="001B3960"/>
    <w:rsid w:val="001B3DAF"/>
    <w:rsid w:val="001B4A0A"/>
    <w:rsid w:val="001B4EDC"/>
    <w:rsid w:val="001B5D62"/>
    <w:rsid w:val="001B647E"/>
    <w:rsid w:val="001B7C1D"/>
    <w:rsid w:val="001C069F"/>
    <w:rsid w:val="001C16A1"/>
    <w:rsid w:val="001C2473"/>
    <w:rsid w:val="001C2775"/>
    <w:rsid w:val="001C2E8A"/>
    <w:rsid w:val="001C31D2"/>
    <w:rsid w:val="001C367C"/>
    <w:rsid w:val="001C3C72"/>
    <w:rsid w:val="001C68C6"/>
    <w:rsid w:val="001C73BB"/>
    <w:rsid w:val="001D28DD"/>
    <w:rsid w:val="001D5F77"/>
    <w:rsid w:val="001E0680"/>
    <w:rsid w:val="001E3AFD"/>
    <w:rsid w:val="001E3E09"/>
    <w:rsid w:val="001E6E20"/>
    <w:rsid w:val="001E764B"/>
    <w:rsid w:val="001E7ED0"/>
    <w:rsid w:val="001F3347"/>
    <w:rsid w:val="001F3629"/>
    <w:rsid w:val="001F392C"/>
    <w:rsid w:val="001F4971"/>
    <w:rsid w:val="001F5257"/>
    <w:rsid w:val="001F5808"/>
    <w:rsid w:val="001F6EBE"/>
    <w:rsid w:val="001F7D0E"/>
    <w:rsid w:val="002004C9"/>
    <w:rsid w:val="002018CA"/>
    <w:rsid w:val="00201E25"/>
    <w:rsid w:val="00202272"/>
    <w:rsid w:val="00203EF2"/>
    <w:rsid w:val="00206B27"/>
    <w:rsid w:val="00207D97"/>
    <w:rsid w:val="00210658"/>
    <w:rsid w:val="00210A53"/>
    <w:rsid w:val="00211770"/>
    <w:rsid w:val="00214E69"/>
    <w:rsid w:val="00214E97"/>
    <w:rsid w:val="00217798"/>
    <w:rsid w:val="00220014"/>
    <w:rsid w:val="00220B79"/>
    <w:rsid w:val="002218D0"/>
    <w:rsid w:val="0022203B"/>
    <w:rsid w:val="00222550"/>
    <w:rsid w:val="00224A9A"/>
    <w:rsid w:val="00227F9A"/>
    <w:rsid w:val="00231BCD"/>
    <w:rsid w:val="00235D28"/>
    <w:rsid w:val="00237363"/>
    <w:rsid w:val="00237D2B"/>
    <w:rsid w:val="00240F5E"/>
    <w:rsid w:val="00241F01"/>
    <w:rsid w:val="002431B0"/>
    <w:rsid w:val="00243558"/>
    <w:rsid w:val="00246544"/>
    <w:rsid w:val="0024683B"/>
    <w:rsid w:val="00247371"/>
    <w:rsid w:val="00250D1B"/>
    <w:rsid w:val="00251E39"/>
    <w:rsid w:val="00252800"/>
    <w:rsid w:val="002547A0"/>
    <w:rsid w:val="002551A5"/>
    <w:rsid w:val="00256258"/>
    <w:rsid w:val="00256DEF"/>
    <w:rsid w:val="0025717C"/>
    <w:rsid w:val="00261D08"/>
    <w:rsid w:val="00262881"/>
    <w:rsid w:val="00262B0A"/>
    <w:rsid w:val="00265C11"/>
    <w:rsid w:val="0026787C"/>
    <w:rsid w:val="00270DD5"/>
    <w:rsid w:val="00271AFA"/>
    <w:rsid w:val="002739E3"/>
    <w:rsid w:val="00275E85"/>
    <w:rsid w:val="00280FF3"/>
    <w:rsid w:val="002811C6"/>
    <w:rsid w:val="0028330A"/>
    <w:rsid w:val="00283331"/>
    <w:rsid w:val="00283483"/>
    <w:rsid w:val="002837CA"/>
    <w:rsid w:val="0028388B"/>
    <w:rsid w:val="00284754"/>
    <w:rsid w:val="00285778"/>
    <w:rsid w:val="0028739C"/>
    <w:rsid w:val="0029066B"/>
    <w:rsid w:val="00290A9A"/>
    <w:rsid w:val="002927B0"/>
    <w:rsid w:val="00293336"/>
    <w:rsid w:val="00294502"/>
    <w:rsid w:val="00294B53"/>
    <w:rsid w:val="00294F28"/>
    <w:rsid w:val="00294FFC"/>
    <w:rsid w:val="00296B59"/>
    <w:rsid w:val="002A4D9A"/>
    <w:rsid w:val="002A551C"/>
    <w:rsid w:val="002A74B4"/>
    <w:rsid w:val="002B1220"/>
    <w:rsid w:val="002B146C"/>
    <w:rsid w:val="002B217B"/>
    <w:rsid w:val="002B2851"/>
    <w:rsid w:val="002B42CB"/>
    <w:rsid w:val="002B4A9E"/>
    <w:rsid w:val="002B565B"/>
    <w:rsid w:val="002B5CF2"/>
    <w:rsid w:val="002B6851"/>
    <w:rsid w:val="002C69F5"/>
    <w:rsid w:val="002D0EC6"/>
    <w:rsid w:val="002D1027"/>
    <w:rsid w:val="002D12E7"/>
    <w:rsid w:val="002D1CC8"/>
    <w:rsid w:val="002D3747"/>
    <w:rsid w:val="002D3EF1"/>
    <w:rsid w:val="002D485E"/>
    <w:rsid w:val="002D6D55"/>
    <w:rsid w:val="002E05DC"/>
    <w:rsid w:val="002E0645"/>
    <w:rsid w:val="002E1579"/>
    <w:rsid w:val="002E2305"/>
    <w:rsid w:val="002E3209"/>
    <w:rsid w:val="002E4E13"/>
    <w:rsid w:val="002E5244"/>
    <w:rsid w:val="002E5E2A"/>
    <w:rsid w:val="002E72BD"/>
    <w:rsid w:val="002F1872"/>
    <w:rsid w:val="002F3DC8"/>
    <w:rsid w:val="002F5383"/>
    <w:rsid w:val="002F73AA"/>
    <w:rsid w:val="00300033"/>
    <w:rsid w:val="00300110"/>
    <w:rsid w:val="003013BC"/>
    <w:rsid w:val="0030245D"/>
    <w:rsid w:val="00302B9D"/>
    <w:rsid w:val="003040D0"/>
    <w:rsid w:val="00304A1A"/>
    <w:rsid w:val="00304AE7"/>
    <w:rsid w:val="00306D89"/>
    <w:rsid w:val="00310CB2"/>
    <w:rsid w:val="003136F4"/>
    <w:rsid w:val="003139C6"/>
    <w:rsid w:val="003142F5"/>
    <w:rsid w:val="0031498B"/>
    <w:rsid w:val="00315B1D"/>
    <w:rsid w:val="0031740D"/>
    <w:rsid w:val="00320DED"/>
    <w:rsid w:val="00321084"/>
    <w:rsid w:val="00321BFA"/>
    <w:rsid w:val="00321D1F"/>
    <w:rsid w:val="00322182"/>
    <w:rsid w:val="00324260"/>
    <w:rsid w:val="00325D6C"/>
    <w:rsid w:val="00325F71"/>
    <w:rsid w:val="00326055"/>
    <w:rsid w:val="003268B8"/>
    <w:rsid w:val="00326A26"/>
    <w:rsid w:val="0032786E"/>
    <w:rsid w:val="003309B0"/>
    <w:rsid w:val="003318D8"/>
    <w:rsid w:val="00331DD8"/>
    <w:rsid w:val="00331F99"/>
    <w:rsid w:val="00332C92"/>
    <w:rsid w:val="003330B4"/>
    <w:rsid w:val="00333B14"/>
    <w:rsid w:val="003364B7"/>
    <w:rsid w:val="00337F53"/>
    <w:rsid w:val="00337F7F"/>
    <w:rsid w:val="00340B64"/>
    <w:rsid w:val="00343F45"/>
    <w:rsid w:val="00344A8D"/>
    <w:rsid w:val="00352D45"/>
    <w:rsid w:val="003547F0"/>
    <w:rsid w:val="00355090"/>
    <w:rsid w:val="003569BF"/>
    <w:rsid w:val="003570D0"/>
    <w:rsid w:val="00357ED9"/>
    <w:rsid w:val="00360F36"/>
    <w:rsid w:val="0036131C"/>
    <w:rsid w:val="00362151"/>
    <w:rsid w:val="00362234"/>
    <w:rsid w:val="00362E31"/>
    <w:rsid w:val="003654B2"/>
    <w:rsid w:val="00366D75"/>
    <w:rsid w:val="00367447"/>
    <w:rsid w:val="00367845"/>
    <w:rsid w:val="00367B88"/>
    <w:rsid w:val="00370138"/>
    <w:rsid w:val="00370295"/>
    <w:rsid w:val="00376A64"/>
    <w:rsid w:val="00376C34"/>
    <w:rsid w:val="0037783F"/>
    <w:rsid w:val="003802DF"/>
    <w:rsid w:val="0038074D"/>
    <w:rsid w:val="0038158A"/>
    <w:rsid w:val="003829CD"/>
    <w:rsid w:val="00382BD6"/>
    <w:rsid w:val="00383EAC"/>
    <w:rsid w:val="003865C0"/>
    <w:rsid w:val="00386D5E"/>
    <w:rsid w:val="0038707E"/>
    <w:rsid w:val="003903ED"/>
    <w:rsid w:val="00390802"/>
    <w:rsid w:val="00391AC5"/>
    <w:rsid w:val="003920D0"/>
    <w:rsid w:val="00394AB4"/>
    <w:rsid w:val="00394B5C"/>
    <w:rsid w:val="00394F0D"/>
    <w:rsid w:val="00395135"/>
    <w:rsid w:val="00396474"/>
    <w:rsid w:val="00396834"/>
    <w:rsid w:val="003A0B72"/>
    <w:rsid w:val="003A0E9B"/>
    <w:rsid w:val="003A3264"/>
    <w:rsid w:val="003A4326"/>
    <w:rsid w:val="003A5335"/>
    <w:rsid w:val="003A5F25"/>
    <w:rsid w:val="003B03B6"/>
    <w:rsid w:val="003B055F"/>
    <w:rsid w:val="003B3422"/>
    <w:rsid w:val="003B452F"/>
    <w:rsid w:val="003B4980"/>
    <w:rsid w:val="003B5722"/>
    <w:rsid w:val="003B6C00"/>
    <w:rsid w:val="003B74DE"/>
    <w:rsid w:val="003C0609"/>
    <w:rsid w:val="003C0BF3"/>
    <w:rsid w:val="003C0C88"/>
    <w:rsid w:val="003C2AD8"/>
    <w:rsid w:val="003C3F8D"/>
    <w:rsid w:val="003C3FA2"/>
    <w:rsid w:val="003C604C"/>
    <w:rsid w:val="003C6B1C"/>
    <w:rsid w:val="003C7279"/>
    <w:rsid w:val="003D66A2"/>
    <w:rsid w:val="003D729F"/>
    <w:rsid w:val="003D7E57"/>
    <w:rsid w:val="003E1978"/>
    <w:rsid w:val="003E1D5B"/>
    <w:rsid w:val="003E29F6"/>
    <w:rsid w:val="003E363F"/>
    <w:rsid w:val="003E494B"/>
    <w:rsid w:val="003E5287"/>
    <w:rsid w:val="003E638A"/>
    <w:rsid w:val="003E69F4"/>
    <w:rsid w:val="003E7AD4"/>
    <w:rsid w:val="003E7E85"/>
    <w:rsid w:val="003F3598"/>
    <w:rsid w:val="003F3B60"/>
    <w:rsid w:val="003F3F8D"/>
    <w:rsid w:val="003F4A21"/>
    <w:rsid w:val="003F5484"/>
    <w:rsid w:val="00400B85"/>
    <w:rsid w:val="004016F8"/>
    <w:rsid w:val="00402162"/>
    <w:rsid w:val="0040225D"/>
    <w:rsid w:val="00404101"/>
    <w:rsid w:val="00404994"/>
    <w:rsid w:val="00405D73"/>
    <w:rsid w:val="004061D4"/>
    <w:rsid w:val="004071FF"/>
    <w:rsid w:val="00410060"/>
    <w:rsid w:val="0041260F"/>
    <w:rsid w:val="0041312D"/>
    <w:rsid w:val="004136A4"/>
    <w:rsid w:val="00415686"/>
    <w:rsid w:val="004167A6"/>
    <w:rsid w:val="00417A78"/>
    <w:rsid w:val="00420C0B"/>
    <w:rsid w:val="0042138D"/>
    <w:rsid w:val="00421B52"/>
    <w:rsid w:val="00422262"/>
    <w:rsid w:val="0042249B"/>
    <w:rsid w:val="00423BFD"/>
    <w:rsid w:val="00424CF8"/>
    <w:rsid w:val="00427051"/>
    <w:rsid w:val="004273F9"/>
    <w:rsid w:val="00427A71"/>
    <w:rsid w:val="00427C14"/>
    <w:rsid w:val="004325CE"/>
    <w:rsid w:val="00433438"/>
    <w:rsid w:val="00433D28"/>
    <w:rsid w:val="00436867"/>
    <w:rsid w:val="004379D1"/>
    <w:rsid w:val="00437B95"/>
    <w:rsid w:val="00437F44"/>
    <w:rsid w:val="00437F4F"/>
    <w:rsid w:val="0044028B"/>
    <w:rsid w:val="004409B2"/>
    <w:rsid w:val="00444C3F"/>
    <w:rsid w:val="0044763C"/>
    <w:rsid w:val="00447A6A"/>
    <w:rsid w:val="004505FC"/>
    <w:rsid w:val="00450D07"/>
    <w:rsid w:val="004510F1"/>
    <w:rsid w:val="0045279D"/>
    <w:rsid w:val="00453052"/>
    <w:rsid w:val="0045495A"/>
    <w:rsid w:val="004560C0"/>
    <w:rsid w:val="004576BF"/>
    <w:rsid w:val="00460576"/>
    <w:rsid w:val="0046256D"/>
    <w:rsid w:val="004629C7"/>
    <w:rsid w:val="00462C6B"/>
    <w:rsid w:val="00463142"/>
    <w:rsid w:val="0046608B"/>
    <w:rsid w:val="00466AA1"/>
    <w:rsid w:val="00466F14"/>
    <w:rsid w:val="00470ECB"/>
    <w:rsid w:val="0047132C"/>
    <w:rsid w:val="00471686"/>
    <w:rsid w:val="00474D7B"/>
    <w:rsid w:val="00474F7D"/>
    <w:rsid w:val="004758FE"/>
    <w:rsid w:val="004770F6"/>
    <w:rsid w:val="00477653"/>
    <w:rsid w:val="00481708"/>
    <w:rsid w:val="00481B66"/>
    <w:rsid w:val="00481BDA"/>
    <w:rsid w:val="00484979"/>
    <w:rsid w:val="00484A4A"/>
    <w:rsid w:val="00486ADA"/>
    <w:rsid w:val="004920B1"/>
    <w:rsid w:val="00493D63"/>
    <w:rsid w:val="004963A0"/>
    <w:rsid w:val="00496C39"/>
    <w:rsid w:val="00496D5A"/>
    <w:rsid w:val="004972DF"/>
    <w:rsid w:val="004A26D1"/>
    <w:rsid w:val="004A302A"/>
    <w:rsid w:val="004A56F6"/>
    <w:rsid w:val="004A6996"/>
    <w:rsid w:val="004A6D7E"/>
    <w:rsid w:val="004A71F2"/>
    <w:rsid w:val="004B0542"/>
    <w:rsid w:val="004B09D0"/>
    <w:rsid w:val="004B2371"/>
    <w:rsid w:val="004B586D"/>
    <w:rsid w:val="004B677E"/>
    <w:rsid w:val="004C0949"/>
    <w:rsid w:val="004C1288"/>
    <w:rsid w:val="004C174B"/>
    <w:rsid w:val="004C3226"/>
    <w:rsid w:val="004C54C8"/>
    <w:rsid w:val="004C588D"/>
    <w:rsid w:val="004C5AA5"/>
    <w:rsid w:val="004C7B09"/>
    <w:rsid w:val="004C7DD1"/>
    <w:rsid w:val="004D008D"/>
    <w:rsid w:val="004D21C0"/>
    <w:rsid w:val="004D39BA"/>
    <w:rsid w:val="004D3D0C"/>
    <w:rsid w:val="004D3DB1"/>
    <w:rsid w:val="004D4584"/>
    <w:rsid w:val="004D4715"/>
    <w:rsid w:val="004D528D"/>
    <w:rsid w:val="004D59E6"/>
    <w:rsid w:val="004D5DA1"/>
    <w:rsid w:val="004D5FFE"/>
    <w:rsid w:val="004D6B5A"/>
    <w:rsid w:val="004E04A1"/>
    <w:rsid w:val="004E0BD5"/>
    <w:rsid w:val="004E2C2D"/>
    <w:rsid w:val="004E3452"/>
    <w:rsid w:val="004E34A4"/>
    <w:rsid w:val="004E3C07"/>
    <w:rsid w:val="004E64E4"/>
    <w:rsid w:val="004E69D5"/>
    <w:rsid w:val="004E6A6A"/>
    <w:rsid w:val="004E6AD5"/>
    <w:rsid w:val="004E7067"/>
    <w:rsid w:val="004E7339"/>
    <w:rsid w:val="004E7816"/>
    <w:rsid w:val="004F1E70"/>
    <w:rsid w:val="004F3D72"/>
    <w:rsid w:val="004F4DBF"/>
    <w:rsid w:val="004F55EA"/>
    <w:rsid w:val="004F5838"/>
    <w:rsid w:val="00500E7D"/>
    <w:rsid w:val="00501180"/>
    <w:rsid w:val="005014C0"/>
    <w:rsid w:val="00501533"/>
    <w:rsid w:val="005019F0"/>
    <w:rsid w:val="0050230A"/>
    <w:rsid w:val="00502AD6"/>
    <w:rsid w:val="00503773"/>
    <w:rsid w:val="005041F9"/>
    <w:rsid w:val="00505251"/>
    <w:rsid w:val="005052F1"/>
    <w:rsid w:val="005053F5"/>
    <w:rsid w:val="00505E65"/>
    <w:rsid w:val="0051275E"/>
    <w:rsid w:val="00512EF0"/>
    <w:rsid w:val="00514290"/>
    <w:rsid w:val="00514F9B"/>
    <w:rsid w:val="00515975"/>
    <w:rsid w:val="005169D1"/>
    <w:rsid w:val="00520662"/>
    <w:rsid w:val="00521299"/>
    <w:rsid w:val="0052431D"/>
    <w:rsid w:val="0052490E"/>
    <w:rsid w:val="00524C4D"/>
    <w:rsid w:val="00525657"/>
    <w:rsid w:val="00527568"/>
    <w:rsid w:val="005306A4"/>
    <w:rsid w:val="0053078A"/>
    <w:rsid w:val="00530D1E"/>
    <w:rsid w:val="0053105E"/>
    <w:rsid w:val="00533E7D"/>
    <w:rsid w:val="0053492A"/>
    <w:rsid w:val="0053617A"/>
    <w:rsid w:val="005368F9"/>
    <w:rsid w:val="005371F9"/>
    <w:rsid w:val="00540443"/>
    <w:rsid w:val="005414A8"/>
    <w:rsid w:val="0054224E"/>
    <w:rsid w:val="005427E8"/>
    <w:rsid w:val="00542DCE"/>
    <w:rsid w:val="00543319"/>
    <w:rsid w:val="005442BA"/>
    <w:rsid w:val="005455A7"/>
    <w:rsid w:val="00546741"/>
    <w:rsid w:val="005512C8"/>
    <w:rsid w:val="00551BD6"/>
    <w:rsid w:val="00553328"/>
    <w:rsid w:val="00555ED9"/>
    <w:rsid w:val="00557963"/>
    <w:rsid w:val="00557CE4"/>
    <w:rsid w:val="00561E5B"/>
    <w:rsid w:val="00562C36"/>
    <w:rsid w:val="00565B57"/>
    <w:rsid w:val="00567948"/>
    <w:rsid w:val="0057170E"/>
    <w:rsid w:val="00571DE7"/>
    <w:rsid w:val="00571EAE"/>
    <w:rsid w:val="0057467E"/>
    <w:rsid w:val="005774CA"/>
    <w:rsid w:val="005778A2"/>
    <w:rsid w:val="00577C74"/>
    <w:rsid w:val="005801B1"/>
    <w:rsid w:val="00581683"/>
    <w:rsid w:val="0058262D"/>
    <w:rsid w:val="00583010"/>
    <w:rsid w:val="0058392F"/>
    <w:rsid w:val="00583E27"/>
    <w:rsid w:val="00583FEE"/>
    <w:rsid w:val="00587583"/>
    <w:rsid w:val="00590F0C"/>
    <w:rsid w:val="00591769"/>
    <w:rsid w:val="00591C0F"/>
    <w:rsid w:val="00591D68"/>
    <w:rsid w:val="005926A5"/>
    <w:rsid w:val="00594437"/>
    <w:rsid w:val="005949EB"/>
    <w:rsid w:val="00594CC0"/>
    <w:rsid w:val="00595B18"/>
    <w:rsid w:val="00595FB4"/>
    <w:rsid w:val="00596459"/>
    <w:rsid w:val="00596BB0"/>
    <w:rsid w:val="005A0F5A"/>
    <w:rsid w:val="005A1365"/>
    <w:rsid w:val="005A25F7"/>
    <w:rsid w:val="005A4BCC"/>
    <w:rsid w:val="005A73D7"/>
    <w:rsid w:val="005A7F70"/>
    <w:rsid w:val="005B1A18"/>
    <w:rsid w:val="005B3147"/>
    <w:rsid w:val="005B48F0"/>
    <w:rsid w:val="005B4D35"/>
    <w:rsid w:val="005B5293"/>
    <w:rsid w:val="005C0553"/>
    <w:rsid w:val="005C225A"/>
    <w:rsid w:val="005C3232"/>
    <w:rsid w:val="005C4181"/>
    <w:rsid w:val="005C594A"/>
    <w:rsid w:val="005C66A0"/>
    <w:rsid w:val="005C6A5E"/>
    <w:rsid w:val="005C7278"/>
    <w:rsid w:val="005C772C"/>
    <w:rsid w:val="005D0508"/>
    <w:rsid w:val="005D0BC4"/>
    <w:rsid w:val="005D2E32"/>
    <w:rsid w:val="005D4264"/>
    <w:rsid w:val="005D4A9F"/>
    <w:rsid w:val="005D669C"/>
    <w:rsid w:val="005D6D9F"/>
    <w:rsid w:val="005D720F"/>
    <w:rsid w:val="005D7843"/>
    <w:rsid w:val="005E39C0"/>
    <w:rsid w:val="005E51AC"/>
    <w:rsid w:val="005E5C6C"/>
    <w:rsid w:val="005E6062"/>
    <w:rsid w:val="005F2511"/>
    <w:rsid w:val="005F437C"/>
    <w:rsid w:val="005F4DE9"/>
    <w:rsid w:val="005F5A7D"/>
    <w:rsid w:val="005F6146"/>
    <w:rsid w:val="006007E6"/>
    <w:rsid w:val="00600A24"/>
    <w:rsid w:val="006015F3"/>
    <w:rsid w:val="00602E57"/>
    <w:rsid w:val="00605E20"/>
    <w:rsid w:val="00606849"/>
    <w:rsid w:val="0061070A"/>
    <w:rsid w:val="00611788"/>
    <w:rsid w:val="006132C7"/>
    <w:rsid w:val="0061392F"/>
    <w:rsid w:val="00614D1D"/>
    <w:rsid w:val="00615637"/>
    <w:rsid w:val="006201B8"/>
    <w:rsid w:val="00622711"/>
    <w:rsid w:val="00622CDF"/>
    <w:rsid w:val="00622EF3"/>
    <w:rsid w:val="00625410"/>
    <w:rsid w:val="0062561B"/>
    <w:rsid w:val="0062589B"/>
    <w:rsid w:val="00626CB7"/>
    <w:rsid w:val="00627E0F"/>
    <w:rsid w:val="00627FCD"/>
    <w:rsid w:val="0063042B"/>
    <w:rsid w:val="006315D9"/>
    <w:rsid w:val="00631790"/>
    <w:rsid w:val="00631DFE"/>
    <w:rsid w:val="006325EE"/>
    <w:rsid w:val="00633F81"/>
    <w:rsid w:val="006349CC"/>
    <w:rsid w:val="0063514A"/>
    <w:rsid w:val="00637CC4"/>
    <w:rsid w:val="00640A51"/>
    <w:rsid w:val="00643A07"/>
    <w:rsid w:val="00644CFA"/>
    <w:rsid w:val="006459C3"/>
    <w:rsid w:val="00646487"/>
    <w:rsid w:val="0064684D"/>
    <w:rsid w:val="00646D6E"/>
    <w:rsid w:val="00647B68"/>
    <w:rsid w:val="006534B4"/>
    <w:rsid w:val="00653887"/>
    <w:rsid w:val="00654224"/>
    <w:rsid w:val="00656AD0"/>
    <w:rsid w:val="00660B92"/>
    <w:rsid w:val="00661F88"/>
    <w:rsid w:val="006625DD"/>
    <w:rsid w:val="00662827"/>
    <w:rsid w:val="00663663"/>
    <w:rsid w:val="006654A6"/>
    <w:rsid w:val="00665B9C"/>
    <w:rsid w:val="0067195C"/>
    <w:rsid w:val="0067196A"/>
    <w:rsid w:val="00672B1E"/>
    <w:rsid w:val="00672B41"/>
    <w:rsid w:val="0067696E"/>
    <w:rsid w:val="00676D63"/>
    <w:rsid w:val="006800E2"/>
    <w:rsid w:val="006836F3"/>
    <w:rsid w:val="0068382E"/>
    <w:rsid w:val="00685B01"/>
    <w:rsid w:val="006866CA"/>
    <w:rsid w:val="0068676B"/>
    <w:rsid w:val="00686D28"/>
    <w:rsid w:val="00687075"/>
    <w:rsid w:val="00691096"/>
    <w:rsid w:val="00691866"/>
    <w:rsid w:val="00693A57"/>
    <w:rsid w:val="00693E67"/>
    <w:rsid w:val="0069480F"/>
    <w:rsid w:val="006956E1"/>
    <w:rsid w:val="00697D6A"/>
    <w:rsid w:val="006A0A1F"/>
    <w:rsid w:val="006A1599"/>
    <w:rsid w:val="006A1B46"/>
    <w:rsid w:val="006A3873"/>
    <w:rsid w:val="006A43D9"/>
    <w:rsid w:val="006A511C"/>
    <w:rsid w:val="006A569B"/>
    <w:rsid w:val="006A6D47"/>
    <w:rsid w:val="006A7DE6"/>
    <w:rsid w:val="006B1758"/>
    <w:rsid w:val="006B1C4D"/>
    <w:rsid w:val="006B2598"/>
    <w:rsid w:val="006B31F0"/>
    <w:rsid w:val="006B3294"/>
    <w:rsid w:val="006B5A6A"/>
    <w:rsid w:val="006B6B08"/>
    <w:rsid w:val="006C0FD1"/>
    <w:rsid w:val="006C2907"/>
    <w:rsid w:val="006C441A"/>
    <w:rsid w:val="006C4BAD"/>
    <w:rsid w:val="006C53A6"/>
    <w:rsid w:val="006C5CF9"/>
    <w:rsid w:val="006C7E2D"/>
    <w:rsid w:val="006D111D"/>
    <w:rsid w:val="006D2844"/>
    <w:rsid w:val="006D2DAF"/>
    <w:rsid w:val="006D33BC"/>
    <w:rsid w:val="006D367E"/>
    <w:rsid w:val="006D49BB"/>
    <w:rsid w:val="006D4E41"/>
    <w:rsid w:val="006D68E5"/>
    <w:rsid w:val="006D6A89"/>
    <w:rsid w:val="006E08B8"/>
    <w:rsid w:val="006E11D4"/>
    <w:rsid w:val="006E1226"/>
    <w:rsid w:val="006E36D4"/>
    <w:rsid w:val="006E4661"/>
    <w:rsid w:val="006E7113"/>
    <w:rsid w:val="006E7477"/>
    <w:rsid w:val="006F0CBD"/>
    <w:rsid w:val="006F0E0E"/>
    <w:rsid w:val="006F1ADD"/>
    <w:rsid w:val="006F281E"/>
    <w:rsid w:val="006F2F1A"/>
    <w:rsid w:val="006F2F31"/>
    <w:rsid w:val="006F4B76"/>
    <w:rsid w:val="006F64D2"/>
    <w:rsid w:val="006F6D69"/>
    <w:rsid w:val="006F6F06"/>
    <w:rsid w:val="006F7725"/>
    <w:rsid w:val="00701732"/>
    <w:rsid w:val="00701C86"/>
    <w:rsid w:val="007029D7"/>
    <w:rsid w:val="007035EF"/>
    <w:rsid w:val="007115EB"/>
    <w:rsid w:val="007118DB"/>
    <w:rsid w:val="00712023"/>
    <w:rsid w:val="0071291D"/>
    <w:rsid w:val="00712C79"/>
    <w:rsid w:val="00713174"/>
    <w:rsid w:val="00714996"/>
    <w:rsid w:val="007153DE"/>
    <w:rsid w:val="007164F1"/>
    <w:rsid w:val="00716D97"/>
    <w:rsid w:val="00717CE9"/>
    <w:rsid w:val="00717D00"/>
    <w:rsid w:val="007210A9"/>
    <w:rsid w:val="00722202"/>
    <w:rsid w:val="0072223F"/>
    <w:rsid w:val="00722EBA"/>
    <w:rsid w:val="007235A4"/>
    <w:rsid w:val="007248EF"/>
    <w:rsid w:val="007254D0"/>
    <w:rsid w:val="00725A89"/>
    <w:rsid w:val="00725EF2"/>
    <w:rsid w:val="0072694C"/>
    <w:rsid w:val="00726B47"/>
    <w:rsid w:val="00727A22"/>
    <w:rsid w:val="00731577"/>
    <w:rsid w:val="00731C66"/>
    <w:rsid w:val="00732433"/>
    <w:rsid w:val="007328B6"/>
    <w:rsid w:val="00732A0A"/>
    <w:rsid w:val="00733208"/>
    <w:rsid w:val="00733E49"/>
    <w:rsid w:val="00734E7E"/>
    <w:rsid w:val="007358E5"/>
    <w:rsid w:val="00735B18"/>
    <w:rsid w:val="007377FF"/>
    <w:rsid w:val="00740092"/>
    <w:rsid w:val="007426F1"/>
    <w:rsid w:val="00745407"/>
    <w:rsid w:val="00746790"/>
    <w:rsid w:val="0075050D"/>
    <w:rsid w:val="00753573"/>
    <w:rsid w:val="00753580"/>
    <w:rsid w:val="007565BF"/>
    <w:rsid w:val="0075685C"/>
    <w:rsid w:val="00760D2B"/>
    <w:rsid w:val="00762342"/>
    <w:rsid w:val="007626D0"/>
    <w:rsid w:val="00762701"/>
    <w:rsid w:val="00762852"/>
    <w:rsid w:val="00762B7E"/>
    <w:rsid w:val="0076480C"/>
    <w:rsid w:val="00766A14"/>
    <w:rsid w:val="007679B9"/>
    <w:rsid w:val="00772980"/>
    <w:rsid w:val="00774FA2"/>
    <w:rsid w:val="007775D4"/>
    <w:rsid w:val="00777EF6"/>
    <w:rsid w:val="00780CAB"/>
    <w:rsid w:val="00781035"/>
    <w:rsid w:val="007816A5"/>
    <w:rsid w:val="00781729"/>
    <w:rsid w:val="00781A4D"/>
    <w:rsid w:val="007823A9"/>
    <w:rsid w:val="00784189"/>
    <w:rsid w:val="00785588"/>
    <w:rsid w:val="007870EA"/>
    <w:rsid w:val="00790181"/>
    <w:rsid w:val="0079062E"/>
    <w:rsid w:val="00790908"/>
    <w:rsid w:val="00790F57"/>
    <w:rsid w:val="007910E8"/>
    <w:rsid w:val="00791AAC"/>
    <w:rsid w:val="007929B0"/>
    <w:rsid w:val="00796245"/>
    <w:rsid w:val="007968B0"/>
    <w:rsid w:val="0079771C"/>
    <w:rsid w:val="00797C1A"/>
    <w:rsid w:val="007A0324"/>
    <w:rsid w:val="007A0FA1"/>
    <w:rsid w:val="007A1337"/>
    <w:rsid w:val="007A24D1"/>
    <w:rsid w:val="007A3ED0"/>
    <w:rsid w:val="007A4AA7"/>
    <w:rsid w:val="007A728B"/>
    <w:rsid w:val="007B05B1"/>
    <w:rsid w:val="007B0654"/>
    <w:rsid w:val="007B6CE8"/>
    <w:rsid w:val="007C00C2"/>
    <w:rsid w:val="007C1887"/>
    <w:rsid w:val="007C21BC"/>
    <w:rsid w:val="007C426F"/>
    <w:rsid w:val="007C5F5A"/>
    <w:rsid w:val="007C60FC"/>
    <w:rsid w:val="007D0307"/>
    <w:rsid w:val="007D2E41"/>
    <w:rsid w:val="007D2FA6"/>
    <w:rsid w:val="007D4D36"/>
    <w:rsid w:val="007D6978"/>
    <w:rsid w:val="007E223E"/>
    <w:rsid w:val="007E2557"/>
    <w:rsid w:val="007E68EA"/>
    <w:rsid w:val="007E7575"/>
    <w:rsid w:val="007E7FF0"/>
    <w:rsid w:val="007F0126"/>
    <w:rsid w:val="007F1850"/>
    <w:rsid w:val="007F28EC"/>
    <w:rsid w:val="007F2ACE"/>
    <w:rsid w:val="007F3125"/>
    <w:rsid w:val="007F40AE"/>
    <w:rsid w:val="007F4D0D"/>
    <w:rsid w:val="007F5F85"/>
    <w:rsid w:val="007F6576"/>
    <w:rsid w:val="007F65BD"/>
    <w:rsid w:val="007F7CE0"/>
    <w:rsid w:val="00802BEC"/>
    <w:rsid w:val="0080371A"/>
    <w:rsid w:val="00803923"/>
    <w:rsid w:val="00805F8E"/>
    <w:rsid w:val="008066CF"/>
    <w:rsid w:val="00806EDA"/>
    <w:rsid w:val="008072D2"/>
    <w:rsid w:val="00810308"/>
    <w:rsid w:val="00810B8A"/>
    <w:rsid w:val="00810DA4"/>
    <w:rsid w:val="008110F8"/>
    <w:rsid w:val="0081270C"/>
    <w:rsid w:val="0081271C"/>
    <w:rsid w:val="0081578C"/>
    <w:rsid w:val="008164B5"/>
    <w:rsid w:val="0081732E"/>
    <w:rsid w:val="008176B6"/>
    <w:rsid w:val="00820F62"/>
    <w:rsid w:val="00822024"/>
    <w:rsid w:val="0082394C"/>
    <w:rsid w:val="008243D2"/>
    <w:rsid w:val="008248BB"/>
    <w:rsid w:val="00825A5B"/>
    <w:rsid w:val="008278EC"/>
    <w:rsid w:val="00827979"/>
    <w:rsid w:val="00827A2D"/>
    <w:rsid w:val="00827E39"/>
    <w:rsid w:val="0083033B"/>
    <w:rsid w:val="00831124"/>
    <w:rsid w:val="00831C16"/>
    <w:rsid w:val="0083377C"/>
    <w:rsid w:val="00837043"/>
    <w:rsid w:val="00840152"/>
    <w:rsid w:val="00840BB0"/>
    <w:rsid w:val="008412C2"/>
    <w:rsid w:val="00841437"/>
    <w:rsid w:val="0084383D"/>
    <w:rsid w:val="0084446A"/>
    <w:rsid w:val="0084608E"/>
    <w:rsid w:val="00846258"/>
    <w:rsid w:val="008468B2"/>
    <w:rsid w:val="00850777"/>
    <w:rsid w:val="008518E9"/>
    <w:rsid w:val="00852726"/>
    <w:rsid w:val="008534F7"/>
    <w:rsid w:val="0085518E"/>
    <w:rsid w:val="00864D50"/>
    <w:rsid w:val="00866762"/>
    <w:rsid w:val="00870598"/>
    <w:rsid w:val="00871295"/>
    <w:rsid w:val="008722ED"/>
    <w:rsid w:val="0087429C"/>
    <w:rsid w:val="0087480D"/>
    <w:rsid w:val="00874ACE"/>
    <w:rsid w:val="00875CBF"/>
    <w:rsid w:val="00876FEA"/>
    <w:rsid w:val="008777C6"/>
    <w:rsid w:val="00877992"/>
    <w:rsid w:val="00877AAD"/>
    <w:rsid w:val="00880CC2"/>
    <w:rsid w:val="0088180B"/>
    <w:rsid w:val="008818E2"/>
    <w:rsid w:val="00881D07"/>
    <w:rsid w:val="008829F9"/>
    <w:rsid w:val="00882B67"/>
    <w:rsid w:val="00886E16"/>
    <w:rsid w:val="008874F0"/>
    <w:rsid w:val="00887B95"/>
    <w:rsid w:val="00890794"/>
    <w:rsid w:val="00891509"/>
    <w:rsid w:val="008915A2"/>
    <w:rsid w:val="00892A10"/>
    <w:rsid w:val="00892F70"/>
    <w:rsid w:val="008931D0"/>
    <w:rsid w:val="00895151"/>
    <w:rsid w:val="00896B24"/>
    <w:rsid w:val="00896BAA"/>
    <w:rsid w:val="00897112"/>
    <w:rsid w:val="00897FEF"/>
    <w:rsid w:val="008A3FB0"/>
    <w:rsid w:val="008A6203"/>
    <w:rsid w:val="008A6540"/>
    <w:rsid w:val="008A7FCC"/>
    <w:rsid w:val="008B06AF"/>
    <w:rsid w:val="008B1078"/>
    <w:rsid w:val="008B15B7"/>
    <w:rsid w:val="008B3070"/>
    <w:rsid w:val="008B32DB"/>
    <w:rsid w:val="008B3E9F"/>
    <w:rsid w:val="008B6D66"/>
    <w:rsid w:val="008B7276"/>
    <w:rsid w:val="008C0327"/>
    <w:rsid w:val="008C11E7"/>
    <w:rsid w:val="008C1450"/>
    <w:rsid w:val="008C1604"/>
    <w:rsid w:val="008C1C24"/>
    <w:rsid w:val="008C2944"/>
    <w:rsid w:val="008C3B9B"/>
    <w:rsid w:val="008C3F01"/>
    <w:rsid w:val="008C406F"/>
    <w:rsid w:val="008C4B96"/>
    <w:rsid w:val="008C55A0"/>
    <w:rsid w:val="008C7455"/>
    <w:rsid w:val="008D0549"/>
    <w:rsid w:val="008D0E0C"/>
    <w:rsid w:val="008D17FB"/>
    <w:rsid w:val="008D1EC0"/>
    <w:rsid w:val="008D24DA"/>
    <w:rsid w:val="008D3EF1"/>
    <w:rsid w:val="008D4298"/>
    <w:rsid w:val="008D4C7B"/>
    <w:rsid w:val="008D5003"/>
    <w:rsid w:val="008D52C2"/>
    <w:rsid w:val="008D5C03"/>
    <w:rsid w:val="008D623B"/>
    <w:rsid w:val="008D6BDE"/>
    <w:rsid w:val="008E0448"/>
    <w:rsid w:val="008E0F76"/>
    <w:rsid w:val="008E249D"/>
    <w:rsid w:val="008E378F"/>
    <w:rsid w:val="008E3ACA"/>
    <w:rsid w:val="008E4291"/>
    <w:rsid w:val="008E43D9"/>
    <w:rsid w:val="008E4B34"/>
    <w:rsid w:val="008E5698"/>
    <w:rsid w:val="008E6051"/>
    <w:rsid w:val="008E69C1"/>
    <w:rsid w:val="008F00FE"/>
    <w:rsid w:val="008F0761"/>
    <w:rsid w:val="008F1409"/>
    <w:rsid w:val="008F2FF5"/>
    <w:rsid w:val="008F30E3"/>
    <w:rsid w:val="008F45E7"/>
    <w:rsid w:val="008F5CD0"/>
    <w:rsid w:val="008F5FC7"/>
    <w:rsid w:val="008F6066"/>
    <w:rsid w:val="008F6EDC"/>
    <w:rsid w:val="00900BB0"/>
    <w:rsid w:val="009014E4"/>
    <w:rsid w:val="00901CB0"/>
    <w:rsid w:val="00901EB5"/>
    <w:rsid w:val="00902F4E"/>
    <w:rsid w:val="0090335B"/>
    <w:rsid w:val="009062DE"/>
    <w:rsid w:val="00906F01"/>
    <w:rsid w:val="0091097B"/>
    <w:rsid w:val="009132B2"/>
    <w:rsid w:val="0091394D"/>
    <w:rsid w:val="00913BB3"/>
    <w:rsid w:val="00914638"/>
    <w:rsid w:val="00914EF1"/>
    <w:rsid w:val="009150DA"/>
    <w:rsid w:val="00915920"/>
    <w:rsid w:val="00916633"/>
    <w:rsid w:val="00916921"/>
    <w:rsid w:val="0091716B"/>
    <w:rsid w:val="00917619"/>
    <w:rsid w:val="00920B49"/>
    <w:rsid w:val="00923234"/>
    <w:rsid w:val="009244F9"/>
    <w:rsid w:val="0092473C"/>
    <w:rsid w:val="009251AA"/>
    <w:rsid w:val="00925C30"/>
    <w:rsid w:val="00926122"/>
    <w:rsid w:val="00927232"/>
    <w:rsid w:val="0093096A"/>
    <w:rsid w:val="00930FA9"/>
    <w:rsid w:val="009311AC"/>
    <w:rsid w:val="00931EBE"/>
    <w:rsid w:val="00935B89"/>
    <w:rsid w:val="009424C3"/>
    <w:rsid w:val="009432D2"/>
    <w:rsid w:val="0094339C"/>
    <w:rsid w:val="00943BD9"/>
    <w:rsid w:val="00943FA1"/>
    <w:rsid w:val="00945E99"/>
    <w:rsid w:val="009467B7"/>
    <w:rsid w:val="00951EA7"/>
    <w:rsid w:val="009552F3"/>
    <w:rsid w:val="009605FB"/>
    <w:rsid w:val="00960FD8"/>
    <w:rsid w:val="009610D6"/>
    <w:rsid w:val="009625CC"/>
    <w:rsid w:val="00964043"/>
    <w:rsid w:val="00964506"/>
    <w:rsid w:val="00966667"/>
    <w:rsid w:val="00970DED"/>
    <w:rsid w:val="00970EC5"/>
    <w:rsid w:val="00972BF4"/>
    <w:rsid w:val="00973439"/>
    <w:rsid w:val="00973627"/>
    <w:rsid w:val="0097462A"/>
    <w:rsid w:val="00975BE5"/>
    <w:rsid w:val="00976059"/>
    <w:rsid w:val="009761D9"/>
    <w:rsid w:val="00976BD5"/>
    <w:rsid w:val="00976CC1"/>
    <w:rsid w:val="009808E6"/>
    <w:rsid w:val="009809ED"/>
    <w:rsid w:val="00980A37"/>
    <w:rsid w:val="0098183E"/>
    <w:rsid w:val="00982967"/>
    <w:rsid w:val="00983E74"/>
    <w:rsid w:val="00985CC9"/>
    <w:rsid w:val="00985D57"/>
    <w:rsid w:val="00986DE5"/>
    <w:rsid w:val="00986E9F"/>
    <w:rsid w:val="00986F29"/>
    <w:rsid w:val="0099076E"/>
    <w:rsid w:val="00990BF3"/>
    <w:rsid w:val="00993B99"/>
    <w:rsid w:val="009A1B5A"/>
    <w:rsid w:val="009A3FEB"/>
    <w:rsid w:val="009A4586"/>
    <w:rsid w:val="009A4EA6"/>
    <w:rsid w:val="009A57DE"/>
    <w:rsid w:val="009A756C"/>
    <w:rsid w:val="009B0615"/>
    <w:rsid w:val="009B3873"/>
    <w:rsid w:val="009B39BE"/>
    <w:rsid w:val="009B6532"/>
    <w:rsid w:val="009B6A30"/>
    <w:rsid w:val="009C0D4D"/>
    <w:rsid w:val="009C0EF0"/>
    <w:rsid w:val="009C1188"/>
    <w:rsid w:val="009C3150"/>
    <w:rsid w:val="009C6AEB"/>
    <w:rsid w:val="009D0518"/>
    <w:rsid w:val="009D2912"/>
    <w:rsid w:val="009D445C"/>
    <w:rsid w:val="009D5F85"/>
    <w:rsid w:val="009D6BE2"/>
    <w:rsid w:val="009D6E8C"/>
    <w:rsid w:val="009D7644"/>
    <w:rsid w:val="009D7891"/>
    <w:rsid w:val="009E0B0F"/>
    <w:rsid w:val="009E3D28"/>
    <w:rsid w:val="009E3F56"/>
    <w:rsid w:val="009E485D"/>
    <w:rsid w:val="009E5FDA"/>
    <w:rsid w:val="009E609D"/>
    <w:rsid w:val="009E6618"/>
    <w:rsid w:val="009E701F"/>
    <w:rsid w:val="009E7ECA"/>
    <w:rsid w:val="009F10C6"/>
    <w:rsid w:val="009F29D2"/>
    <w:rsid w:val="009F3572"/>
    <w:rsid w:val="009F394D"/>
    <w:rsid w:val="009F51C0"/>
    <w:rsid w:val="009F5555"/>
    <w:rsid w:val="009F6A18"/>
    <w:rsid w:val="00A01422"/>
    <w:rsid w:val="00A015EA"/>
    <w:rsid w:val="00A01735"/>
    <w:rsid w:val="00A0178D"/>
    <w:rsid w:val="00A027D2"/>
    <w:rsid w:val="00A02836"/>
    <w:rsid w:val="00A0338A"/>
    <w:rsid w:val="00A05D04"/>
    <w:rsid w:val="00A1195F"/>
    <w:rsid w:val="00A12D3B"/>
    <w:rsid w:val="00A14C35"/>
    <w:rsid w:val="00A15475"/>
    <w:rsid w:val="00A16A3C"/>
    <w:rsid w:val="00A16CA6"/>
    <w:rsid w:val="00A16D70"/>
    <w:rsid w:val="00A177A3"/>
    <w:rsid w:val="00A1786C"/>
    <w:rsid w:val="00A223EA"/>
    <w:rsid w:val="00A23111"/>
    <w:rsid w:val="00A23990"/>
    <w:rsid w:val="00A23AD7"/>
    <w:rsid w:val="00A3030A"/>
    <w:rsid w:val="00A32B0D"/>
    <w:rsid w:val="00A339C5"/>
    <w:rsid w:val="00A353D2"/>
    <w:rsid w:val="00A37B71"/>
    <w:rsid w:val="00A37BD8"/>
    <w:rsid w:val="00A40D2C"/>
    <w:rsid w:val="00A42A3D"/>
    <w:rsid w:val="00A42EEF"/>
    <w:rsid w:val="00A431DF"/>
    <w:rsid w:val="00A43866"/>
    <w:rsid w:val="00A43DA1"/>
    <w:rsid w:val="00A43F2C"/>
    <w:rsid w:val="00A4414A"/>
    <w:rsid w:val="00A476F5"/>
    <w:rsid w:val="00A47965"/>
    <w:rsid w:val="00A50038"/>
    <w:rsid w:val="00A508C4"/>
    <w:rsid w:val="00A51BEF"/>
    <w:rsid w:val="00A53757"/>
    <w:rsid w:val="00A55B49"/>
    <w:rsid w:val="00A63DA5"/>
    <w:rsid w:val="00A64CC8"/>
    <w:rsid w:val="00A64F90"/>
    <w:rsid w:val="00A655C6"/>
    <w:rsid w:val="00A67C4A"/>
    <w:rsid w:val="00A70A0A"/>
    <w:rsid w:val="00A7119F"/>
    <w:rsid w:val="00A713E5"/>
    <w:rsid w:val="00A723D6"/>
    <w:rsid w:val="00A740B2"/>
    <w:rsid w:val="00A75470"/>
    <w:rsid w:val="00A77E5D"/>
    <w:rsid w:val="00A827DA"/>
    <w:rsid w:val="00A8306E"/>
    <w:rsid w:val="00A84031"/>
    <w:rsid w:val="00A844BB"/>
    <w:rsid w:val="00A8467C"/>
    <w:rsid w:val="00A84C72"/>
    <w:rsid w:val="00A85FC7"/>
    <w:rsid w:val="00A86881"/>
    <w:rsid w:val="00A87515"/>
    <w:rsid w:val="00A87956"/>
    <w:rsid w:val="00A90D79"/>
    <w:rsid w:val="00A9174E"/>
    <w:rsid w:val="00A92F1E"/>
    <w:rsid w:val="00A93859"/>
    <w:rsid w:val="00A949D2"/>
    <w:rsid w:val="00A94DE5"/>
    <w:rsid w:val="00A95A19"/>
    <w:rsid w:val="00A97FEC"/>
    <w:rsid w:val="00AA0B1F"/>
    <w:rsid w:val="00AA1004"/>
    <w:rsid w:val="00AA1613"/>
    <w:rsid w:val="00AA2408"/>
    <w:rsid w:val="00AA3B6D"/>
    <w:rsid w:val="00AA6322"/>
    <w:rsid w:val="00AA6C8A"/>
    <w:rsid w:val="00AA73D6"/>
    <w:rsid w:val="00AA785F"/>
    <w:rsid w:val="00AB0918"/>
    <w:rsid w:val="00AB0CEF"/>
    <w:rsid w:val="00AB0FE2"/>
    <w:rsid w:val="00AB1878"/>
    <w:rsid w:val="00AB23D6"/>
    <w:rsid w:val="00AB31E4"/>
    <w:rsid w:val="00AB356E"/>
    <w:rsid w:val="00AB37E4"/>
    <w:rsid w:val="00AB3C44"/>
    <w:rsid w:val="00AB4832"/>
    <w:rsid w:val="00AB5065"/>
    <w:rsid w:val="00AB5710"/>
    <w:rsid w:val="00AB5E48"/>
    <w:rsid w:val="00AB7BD0"/>
    <w:rsid w:val="00AC32EC"/>
    <w:rsid w:val="00AC346A"/>
    <w:rsid w:val="00AC3670"/>
    <w:rsid w:val="00AC3BC6"/>
    <w:rsid w:val="00AC4A1F"/>
    <w:rsid w:val="00AC4ACA"/>
    <w:rsid w:val="00AC61EF"/>
    <w:rsid w:val="00AC7CC4"/>
    <w:rsid w:val="00AD0929"/>
    <w:rsid w:val="00AD13CC"/>
    <w:rsid w:val="00AD3B4A"/>
    <w:rsid w:val="00AD43A3"/>
    <w:rsid w:val="00AD504E"/>
    <w:rsid w:val="00AD5CD0"/>
    <w:rsid w:val="00AD6DA4"/>
    <w:rsid w:val="00AD6FFC"/>
    <w:rsid w:val="00AE00A2"/>
    <w:rsid w:val="00AE0659"/>
    <w:rsid w:val="00AE1541"/>
    <w:rsid w:val="00AE17F8"/>
    <w:rsid w:val="00AE1CEB"/>
    <w:rsid w:val="00AE2823"/>
    <w:rsid w:val="00AE34E4"/>
    <w:rsid w:val="00AE3534"/>
    <w:rsid w:val="00AE46D1"/>
    <w:rsid w:val="00AE5674"/>
    <w:rsid w:val="00AE6E92"/>
    <w:rsid w:val="00AE7A10"/>
    <w:rsid w:val="00AF0044"/>
    <w:rsid w:val="00AF0900"/>
    <w:rsid w:val="00AF0E58"/>
    <w:rsid w:val="00AF11A3"/>
    <w:rsid w:val="00AF20AC"/>
    <w:rsid w:val="00AF292A"/>
    <w:rsid w:val="00AF2A03"/>
    <w:rsid w:val="00AF2CBF"/>
    <w:rsid w:val="00AF352D"/>
    <w:rsid w:val="00AF457F"/>
    <w:rsid w:val="00AF46BA"/>
    <w:rsid w:val="00AF514A"/>
    <w:rsid w:val="00AF5EE3"/>
    <w:rsid w:val="00AF6401"/>
    <w:rsid w:val="00AF6736"/>
    <w:rsid w:val="00B019BF"/>
    <w:rsid w:val="00B0308E"/>
    <w:rsid w:val="00B035F5"/>
    <w:rsid w:val="00B03CA8"/>
    <w:rsid w:val="00B03D59"/>
    <w:rsid w:val="00B05576"/>
    <w:rsid w:val="00B069B9"/>
    <w:rsid w:val="00B06D40"/>
    <w:rsid w:val="00B0705E"/>
    <w:rsid w:val="00B10554"/>
    <w:rsid w:val="00B106F9"/>
    <w:rsid w:val="00B1073D"/>
    <w:rsid w:val="00B10D74"/>
    <w:rsid w:val="00B11A4B"/>
    <w:rsid w:val="00B14FEC"/>
    <w:rsid w:val="00B1569C"/>
    <w:rsid w:val="00B15CF7"/>
    <w:rsid w:val="00B175C6"/>
    <w:rsid w:val="00B208BD"/>
    <w:rsid w:val="00B2188D"/>
    <w:rsid w:val="00B22536"/>
    <w:rsid w:val="00B2301D"/>
    <w:rsid w:val="00B2561E"/>
    <w:rsid w:val="00B25FA9"/>
    <w:rsid w:val="00B26E39"/>
    <w:rsid w:val="00B26F7B"/>
    <w:rsid w:val="00B306BE"/>
    <w:rsid w:val="00B30D1C"/>
    <w:rsid w:val="00B3293A"/>
    <w:rsid w:val="00B33742"/>
    <w:rsid w:val="00B35677"/>
    <w:rsid w:val="00B3638E"/>
    <w:rsid w:val="00B376FF"/>
    <w:rsid w:val="00B378B7"/>
    <w:rsid w:val="00B40372"/>
    <w:rsid w:val="00B4154F"/>
    <w:rsid w:val="00B418E5"/>
    <w:rsid w:val="00B43F44"/>
    <w:rsid w:val="00B44040"/>
    <w:rsid w:val="00B452DF"/>
    <w:rsid w:val="00B46479"/>
    <w:rsid w:val="00B46939"/>
    <w:rsid w:val="00B46FA9"/>
    <w:rsid w:val="00B47EEA"/>
    <w:rsid w:val="00B524E1"/>
    <w:rsid w:val="00B569CE"/>
    <w:rsid w:val="00B56B3E"/>
    <w:rsid w:val="00B604BD"/>
    <w:rsid w:val="00B606BE"/>
    <w:rsid w:val="00B620A2"/>
    <w:rsid w:val="00B62FE8"/>
    <w:rsid w:val="00B63DE0"/>
    <w:rsid w:val="00B658E8"/>
    <w:rsid w:val="00B660AC"/>
    <w:rsid w:val="00B74C00"/>
    <w:rsid w:val="00B75D7A"/>
    <w:rsid w:val="00B767AF"/>
    <w:rsid w:val="00B7730E"/>
    <w:rsid w:val="00B818C3"/>
    <w:rsid w:val="00B849E7"/>
    <w:rsid w:val="00B84C3C"/>
    <w:rsid w:val="00B84CFB"/>
    <w:rsid w:val="00B854CB"/>
    <w:rsid w:val="00B86FC1"/>
    <w:rsid w:val="00B87492"/>
    <w:rsid w:val="00B909A3"/>
    <w:rsid w:val="00B90BAD"/>
    <w:rsid w:val="00B93E65"/>
    <w:rsid w:val="00B94A00"/>
    <w:rsid w:val="00B96B44"/>
    <w:rsid w:val="00B96BEE"/>
    <w:rsid w:val="00B97C5F"/>
    <w:rsid w:val="00BA1A3E"/>
    <w:rsid w:val="00BA3436"/>
    <w:rsid w:val="00BA4378"/>
    <w:rsid w:val="00BA541E"/>
    <w:rsid w:val="00BA5EC8"/>
    <w:rsid w:val="00BA5F1B"/>
    <w:rsid w:val="00BA6F1C"/>
    <w:rsid w:val="00BB03EB"/>
    <w:rsid w:val="00BB2CD4"/>
    <w:rsid w:val="00BB4A36"/>
    <w:rsid w:val="00BB76B9"/>
    <w:rsid w:val="00BC1866"/>
    <w:rsid w:val="00BC2550"/>
    <w:rsid w:val="00BC29FB"/>
    <w:rsid w:val="00BC2A15"/>
    <w:rsid w:val="00BC3411"/>
    <w:rsid w:val="00BC42A6"/>
    <w:rsid w:val="00BC5615"/>
    <w:rsid w:val="00BC66DC"/>
    <w:rsid w:val="00BC7393"/>
    <w:rsid w:val="00BD11F2"/>
    <w:rsid w:val="00BD2BAD"/>
    <w:rsid w:val="00BD2C9F"/>
    <w:rsid w:val="00BD30F8"/>
    <w:rsid w:val="00BD3771"/>
    <w:rsid w:val="00BD4134"/>
    <w:rsid w:val="00BD6108"/>
    <w:rsid w:val="00BE0141"/>
    <w:rsid w:val="00BE028B"/>
    <w:rsid w:val="00BE1B34"/>
    <w:rsid w:val="00BE2C44"/>
    <w:rsid w:val="00BE538E"/>
    <w:rsid w:val="00BE58DA"/>
    <w:rsid w:val="00BE6B5D"/>
    <w:rsid w:val="00BE6BC7"/>
    <w:rsid w:val="00BE751C"/>
    <w:rsid w:val="00BF00AC"/>
    <w:rsid w:val="00BF0CFF"/>
    <w:rsid w:val="00BF0E91"/>
    <w:rsid w:val="00BF2850"/>
    <w:rsid w:val="00BF2D42"/>
    <w:rsid w:val="00BF4224"/>
    <w:rsid w:val="00BF54C8"/>
    <w:rsid w:val="00BF615D"/>
    <w:rsid w:val="00C00911"/>
    <w:rsid w:val="00C01EA0"/>
    <w:rsid w:val="00C02476"/>
    <w:rsid w:val="00C04F79"/>
    <w:rsid w:val="00C05F14"/>
    <w:rsid w:val="00C06BA9"/>
    <w:rsid w:val="00C1060B"/>
    <w:rsid w:val="00C13433"/>
    <w:rsid w:val="00C14ADF"/>
    <w:rsid w:val="00C17318"/>
    <w:rsid w:val="00C22AFC"/>
    <w:rsid w:val="00C22FF5"/>
    <w:rsid w:val="00C23194"/>
    <w:rsid w:val="00C250A2"/>
    <w:rsid w:val="00C253ED"/>
    <w:rsid w:val="00C25782"/>
    <w:rsid w:val="00C26A89"/>
    <w:rsid w:val="00C27330"/>
    <w:rsid w:val="00C27CCE"/>
    <w:rsid w:val="00C31369"/>
    <w:rsid w:val="00C31E57"/>
    <w:rsid w:val="00C346A2"/>
    <w:rsid w:val="00C357D9"/>
    <w:rsid w:val="00C36752"/>
    <w:rsid w:val="00C367DA"/>
    <w:rsid w:val="00C368E1"/>
    <w:rsid w:val="00C37266"/>
    <w:rsid w:val="00C37521"/>
    <w:rsid w:val="00C3774E"/>
    <w:rsid w:val="00C407A4"/>
    <w:rsid w:val="00C466CD"/>
    <w:rsid w:val="00C47B94"/>
    <w:rsid w:val="00C51996"/>
    <w:rsid w:val="00C5276A"/>
    <w:rsid w:val="00C54340"/>
    <w:rsid w:val="00C552F7"/>
    <w:rsid w:val="00C5791D"/>
    <w:rsid w:val="00C6060A"/>
    <w:rsid w:val="00C6221A"/>
    <w:rsid w:val="00C64402"/>
    <w:rsid w:val="00C6613C"/>
    <w:rsid w:val="00C70AEB"/>
    <w:rsid w:val="00C71791"/>
    <w:rsid w:val="00C71901"/>
    <w:rsid w:val="00C72F3F"/>
    <w:rsid w:val="00C739AD"/>
    <w:rsid w:val="00C74CEB"/>
    <w:rsid w:val="00C74FEA"/>
    <w:rsid w:val="00C75B91"/>
    <w:rsid w:val="00C8058E"/>
    <w:rsid w:val="00C8106D"/>
    <w:rsid w:val="00C83617"/>
    <w:rsid w:val="00C836C2"/>
    <w:rsid w:val="00C84FB9"/>
    <w:rsid w:val="00C9018B"/>
    <w:rsid w:val="00C906A2"/>
    <w:rsid w:val="00C92081"/>
    <w:rsid w:val="00C92DF6"/>
    <w:rsid w:val="00C93558"/>
    <w:rsid w:val="00C943CD"/>
    <w:rsid w:val="00C9591F"/>
    <w:rsid w:val="00C96163"/>
    <w:rsid w:val="00C96871"/>
    <w:rsid w:val="00C972B2"/>
    <w:rsid w:val="00C97750"/>
    <w:rsid w:val="00C97BCB"/>
    <w:rsid w:val="00CA07AC"/>
    <w:rsid w:val="00CA279C"/>
    <w:rsid w:val="00CA2A39"/>
    <w:rsid w:val="00CA40F9"/>
    <w:rsid w:val="00CA5A34"/>
    <w:rsid w:val="00CA78B3"/>
    <w:rsid w:val="00CB032D"/>
    <w:rsid w:val="00CB1476"/>
    <w:rsid w:val="00CB4739"/>
    <w:rsid w:val="00CB52DE"/>
    <w:rsid w:val="00CB5E90"/>
    <w:rsid w:val="00CB75D4"/>
    <w:rsid w:val="00CC1205"/>
    <w:rsid w:val="00CC18BE"/>
    <w:rsid w:val="00CC20F2"/>
    <w:rsid w:val="00CC2C9A"/>
    <w:rsid w:val="00CC2DBB"/>
    <w:rsid w:val="00CC6FB3"/>
    <w:rsid w:val="00CC7714"/>
    <w:rsid w:val="00CD00D7"/>
    <w:rsid w:val="00CD0F0A"/>
    <w:rsid w:val="00CD1330"/>
    <w:rsid w:val="00CD1552"/>
    <w:rsid w:val="00CD184C"/>
    <w:rsid w:val="00CD1F35"/>
    <w:rsid w:val="00CD7301"/>
    <w:rsid w:val="00CE0CC3"/>
    <w:rsid w:val="00CE25DD"/>
    <w:rsid w:val="00CE3941"/>
    <w:rsid w:val="00CE3E17"/>
    <w:rsid w:val="00CE4D6F"/>
    <w:rsid w:val="00CE589E"/>
    <w:rsid w:val="00CE7299"/>
    <w:rsid w:val="00CE7582"/>
    <w:rsid w:val="00CE77FD"/>
    <w:rsid w:val="00CE79C6"/>
    <w:rsid w:val="00CF09F7"/>
    <w:rsid w:val="00CF62DE"/>
    <w:rsid w:val="00CF664F"/>
    <w:rsid w:val="00CF680E"/>
    <w:rsid w:val="00CF7817"/>
    <w:rsid w:val="00CF78EE"/>
    <w:rsid w:val="00D00DCF"/>
    <w:rsid w:val="00D018AD"/>
    <w:rsid w:val="00D02134"/>
    <w:rsid w:val="00D03CDD"/>
    <w:rsid w:val="00D04417"/>
    <w:rsid w:val="00D04DCB"/>
    <w:rsid w:val="00D065C4"/>
    <w:rsid w:val="00D069B3"/>
    <w:rsid w:val="00D120B2"/>
    <w:rsid w:val="00D12381"/>
    <w:rsid w:val="00D1311D"/>
    <w:rsid w:val="00D13480"/>
    <w:rsid w:val="00D14035"/>
    <w:rsid w:val="00D14CAA"/>
    <w:rsid w:val="00D15B38"/>
    <w:rsid w:val="00D15E58"/>
    <w:rsid w:val="00D16993"/>
    <w:rsid w:val="00D16A17"/>
    <w:rsid w:val="00D20E92"/>
    <w:rsid w:val="00D21B73"/>
    <w:rsid w:val="00D231F6"/>
    <w:rsid w:val="00D2377A"/>
    <w:rsid w:val="00D237DE"/>
    <w:rsid w:val="00D2507C"/>
    <w:rsid w:val="00D252CA"/>
    <w:rsid w:val="00D255DB"/>
    <w:rsid w:val="00D26211"/>
    <w:rsid w:val="00D263AC"/>
    <w:rsid w:val="00D30BA6"/>
    <w:rsid w:val="00D30CAD"/>
    <w:rsid w:val="00D32D59"/>
    <w:rsid w:val="00D3651C"/>
    <w:rsid w:val="00D365FB"/>
    <w:rsid w:val="00D3684E"/>
    <w:rsid w:val="00D373AB"/>
    <w:rsid w:val="00D37AB6"/>
    <w:rsid w:val="00D40393"/>
    <w:rsid w:val="00D4147A"/>
    <w:rsid w:val="00D423D2"/>
    <w:rsid w:val="00D44DC2"/>
    <w:rsid w:val="00D4518A"/>
    <w:rsid w:val="00D45793"/>
    <w:rsid w:val="00D5042F"/>
    <w:rsid w:val="00D51CFC"/>
    <w:rsid w:val="00D51F5C"/>
    <w:rsid w:val="00D5301D"/>
    <w:rsid w:val="00D53F4E"/>
    <w:rsid w:val="00D56763"/>
    <w:rsid w:val="00D567F2"/>
    <w:rsid w:val="00D56878"/>
    <w:rsid w:val="00D57836"/>
    <w:rsid w:val="00D60138"/>
    <w:rsid w:val="00D605EA"/>
    <w:rsid w:val="00D62CC1"/>
    <w:rsid w:val="00D6340D"/>
    <w:rsid w:val="00D64F2A"/>
    <w:rsid w:val="00D6590C"/>
    <w:rsid w:val="00D6614E"/>
    <w:rsid w:val="00D6652F"/>
    <w:rsid w:val="00D66612"/>
    <w:rsid w:val="00D673F3"/>
    <w:rsid w:val="00D67DFD"/>
    <w:rsid w:val="00D706F3"/>
    <w:rsid w:val="00D70CE1"/>
    <w:rsid w:val="00D723BA"/>
    <w:rsid w:val="00D7550E"/>
    <w:rsid w:val="00D81AAA"/>
    <w:rsid w:val="00D8201F"/>
    <w:rsid w:val="00D84A50"/>
    <w:rsid w:val="00D84D45"/>
    <w:rsid w:val="00D85949"/>
    <w:rsid w:val="00D86ABD"/>
    <w:rsid w:val="00D879AC"/>
    <w:rsid w:val="00D90A09"/>
    <w:rsid w:val="00D90B33"/>
    <w:rsid w:val="00D92F85"/>
    <w:rsid w:val="00D93E97"/>
    <w:rsid w:val="00D9411D"/>
    <w:rsid w:val="00D94923"/>
    <w:rsid w:val="00DA0205"/>
    <w:rsid w:val="00DA0C85"/>
    <w:rsid w:val="00DA4E15"/>
    <w:rsid w:val="00DA5045"/>
    <w:rsid w:val="00DB1105"/>
    <w:rsid w:val="00DB180F"/>
    <w:rsid w:val="00DB2F53"/>
    <w:rsid w:val="00DB698B"/>
    <w:rsid w:val="00DC1335"/>
    <w:rsid w:val="00DC4A6C"/>
    <w:rsid w:val="00DC5092"/>
    <w:rsid w:val="00DC5992"/>
    <w:rsid w:val="00DD1A0A"/>
    <w:rsid w:val="00DD1DB2"/>
    <w:rsid w:val="00DD2D72"/>
    <w:rsid w:val="00DD41C0"/>
    <w:rsid w:val="00DD4296"/>
    <w:rsid w:val="00DD49D9"/>
    <w:rsid w:val="00DD4CEB"/>
    <w:rsid w:val="00DD531D"/>
    <w:rsid w:val="00DD5463"/>
    <w:rsid w:val="00DD74E6"/>
    <w:rsid w:val="00DD7766"/>
    <w:rsid w:val="00DD7A14"/>
    <w:rsid w:val="00DE07A1"/>
    <w:rsid w:val="00DE14D0"/>
    <w:rsid w:val="00DE1631"/>
    <w:rsid w:val="00DE1D85"/>
    <w:rsid w:val="00DE56BD"/>
    <w:rsid w:val="00DE5E1F"/>
    <w:rsid w:val="00DE6154"/>
    <w:rsid w:val="00DE685B"/>
    <w:rsid w:val="00DE6B82"/>
    <w:rsid w:val="00DF17F4"/>
    <w:rsid w:val="00DF250D"/>
    <w:rsid w:val="00DF264E"/>
    <w:rsid w:val="00DF385C"/>
    <w:rsid w:val="00DF5CC7"/>
    <w:rsid w:val="00DF65ED"/>
    <w:rsid w:val="00E0017B"/>
    <w:rsid w:val="00E00EB1"/>
    <w:rsid w:val="00E028C0"/>
    <w:rsid w:val="00E02E4C"/>
    <w:rsid w:val="00E03D25"/>
    <w:rsid w:val="00E075A1"/>
    <w:rsid w:val="00E07886"/>
    <w:rsid w:val="00E07EC8"/>
    <w:rsid w:val="00E1050E"/>
    <w:rsid w:val="00E11941"/>
    <w:rsid w:val="00E1209F"/>
    <w:rsid w:val="00E12A95"/>
    <w:rsid w:val="00E136E5"/>
    <w:rsid w:val="00E15218"/>
    <w:rsid w:val="00E17A69"/>
    <w:rsid w:val="00E247B9"/>
    <w:rsid w:val="00E25646"/>
    <w:rsid w:val="00E2627E"/>
    <w:rsid w:val="00E26961"/>
    <w:rsid w:val="00E272E5"/>
    <w:rsid w:val="00E2785B"/>
    <w:rsid w:val="00E3156A"/>
    <w:rsid w:val="00E32C93"/>
    <w:rsid w:val="00E35BF1"/>
    <w:rsid w:val="00E36008"/>
    <w:rsid w:val="00E37D6B"/>
    <w:rsid w:val="00E407CF"/>
    <w:rsid w:val="00E41262"/>
    <w:rsid w:val="00E422DB"/>
    <w:rsid w:val="00E42F4C"/>
    <w:rsid w:val="00E44402"/>
    <w:rsid w:val="00E44B33"/>
    <w:rsid w:val="00E44F2B"/>
    <w:rsid w:val="00E45F7A"/>
    <w:rsid w:val="00E4625D"/>
    <w:rsid w:val="00E462B5"/>
    <w:rsid w:val="00E47FAF"/>
    <w:rsid w:val="00E50908"/>
    <w:rsid w:val="00E520E9"/>
    <w:rsid w:val="00E53989"/>
    <w:rsid w:val="00E54A8D"/>
    <w:rsid w:val="00E553D9"/>
    <w:rsid w:val="00E57992"/>
    <w:rsid w:val="00E57BA3"/>
    <w:rsid w:val="00E60AFB"/>
    <w:rsid w:val="00E6113B"/>
    <w:rsid w:val="00E63770"/>
    <w:rsid w:val="00E637A5"/>
    <w:rsid w:val="00E662BD"/>
    <w:rsid w:val="00E67EC3"/>
    <w:rsid w:val="00E67EC7"/>
    <w:rsid w:val="00E724E3"/>
    <w:rsid w:val="00E73FB3"/>
    <w:rsid w:val="00E7799D"/>
    <w:rsid w:val="00E80538"/>
    <w:rsid w:val="00E81498"/>
    <w:rsid w:val="00E8221D"/>
    <w:rsid w:val="00E822A2"/>
    <w:rsid w:val="00E82EC5"/>
    <w:rsid w:val="00E83236"/>
    <w:rsid w:val="00E83926"/>
    <w:rsid w:val="00E85E2D"/>
    <w:rsid w:val="00E86C92"/>
    <w:rsid w:val="00E87E91"/>
    <w:rsid w:val="00E90164"/>
    <w:rsid w:val="00E906CF"/>
    <w:rsid w:val="00E91673"/>
    <w:rsid w:val="00E9180C"/>
    <w:rsid w:val="00E95BB4"/>
    <w:rsid w:val="00E962EA"/>
    <w:rsid w:val="00EA091E"/>
    <w:rsid w:val="00EA10A5"/>
    <w:rsid w:val="00EA1A35"/>
    <w:rsid w:val="00EA23D9"/>
    <w:rsid w:val="00EA3D21"/>
    <w:rsid w:val="00EA5F16"/>
    <w:rsid w:val="00EA6BFD"/>
    <w:rsid w:val="00EA7F8B"/>
    <w:rsid w:val="00EB1D85"/>
    <w:rsid w:val="00EB5097"/>
    <w:rsid w:val="00EB6A1C"/>
    <w:rsid w:val="00EC156F"/>
    <w:rsid w:val="00EC203C"/>
    <w:rsid w:val="00EC232C"/>
    <w:rsid w:val="00EC2757"/>
    <w:rsid w:val="00EC3C6B"/>
    <w:rsid w:val="00EC4BBE"/>
    <w:rsid w:val="00EC4D02"/>
    <w:rsid w:val="00EC5C63"/>
    <w:rsid w:val="00EC75AD"/>
    <w:rsid w:val="00EC77F8"/>
    <w:rsid w:val="00ED2309"/>
    <w:rsid w:val="00ED33FD"/>
    <w:rsid w:val="00ED40E2"/>
    <w:rsid w:val="00ED4B94"/>
    <w:rsid w:val="00ED6356"/>
    <w:rsid w:val="00EE0AD4"/>
    <w:rsid w:val="00EE2B26"/>
    <w:rsid w:val="00EE401F"/>
    <w:rsid w:val="00EE540B"/>
    <w:rsid w:val="00EE681F"/>
    <w:rsid w:val="00EE6CE5"/>
    <w:rsid w:val="00EE72B5"/>
    <w:rsid w:val="00EE790B"/>
    <w:rsid w:val="00EF1ADE"/>
    <w:rsid w:val="00EF3CF4"/>
    <w:rsid w:val="00EF3EAA"/>
    <w:rsid w:val="00EF4955"/>
    <w:rsid w:val="00EF5CBB"/>
    <w:rsid w:val="00EF783E"/>
    <w:rsid w:val="00F004E7"/>
    <w:rsid w:val="00F037ED"/>
    <w:rsid w:val="00F05569"/>
    <w:rsid w:val="00F06037"/>
    <w:rsid w:val="00F06444"/>
    <w:rsid w:val="00F07054"/>
    <w:rsid w:val="00F074FB"/>
    <w:rsid w:val="00F07818"/>
    <w:rsid w:val="00F123F5"/>
    <w:rsid w:val="00F12F30"/>
    <w:rsid w:val="00F13E6E"/>
    <w:rsid w:val="00F1520C"/>
    <w:rsid w:val="00F15372"/>
    <w:rsid w:val="00F156D9"/>
    <w:rsid w:val="00F160F5"/>
    <w:rsid w:val="00F166D1"/>
    <w:rsid w:val="00F17720"/>
    <w:rsid w:val="00F17922"/>
    <w:rsid w:val="00F21333"/>
    <w:rsid w:val="00F23666"/>
    <w:rsid w:val="00F25081"/>
    <w:rsid w:val="00F265D0"/>
    <w:rsid w:val="00F273AA"/>
    <w:rsid w:val="00F31351"/>
    <w:rsid w:val="00F313F1"/>
    <w:rsid w:val="00F32113"/>
    <w:rsid w:val="00F3219B"/>
    <w:rsid w:val="00F32B87"/>
    <w:rsid w:val="00F3451B"/>
    <w:rsid w:val="00F363C4"/>
    <w:rsid w:val="00F41A31"/>
    <w:rsid w:val="00F428A9"/>
    <w:rsid w:val="00F430C1"/>
    <w:rsid w:val="00F43B80"/>
    <w:rsid w:val="00F46473"/>
    <w:rsid w:val="00F46955"/>
    <w:rsid w:val="00F46F1B"/>
    <w:rsid w:val="00F528F1"/>
    <w:rsid w:val="00F54AC1"/>
    <w:rsid w:val="00F56727"/>
    <w:rsid w:val="00F62317"/>
    <w:rsid w:val="00F6273B"/>
    <w:rsid w:val="00F63384"/>
    <w:rsid w:val="00F63FF4"/>
    <w:rsid w:val="00F6568B"/>
    <w:rsid w:val="00F66A54"/>
    <w:rsid w:val="00F6787C"/>
    <w:rsid w:val="00F706A1"/>
    <w:rsid w:val="00F715C2"/>
    <w:rsid w:val="00F72DAD"/>
    <w:rsid w:val="00F73550"/>
    <w:rsid w:val="00F73BCA"/>
    <w:rsid w:val="00F73D3B"/>
    <w:rsid w:val="00F73ECA"/>
    <w:rsid w:val="00F74C4B"/>
    <w:rsid w:val="00F7501A"/>
    <w:rsid w:val="00F76431"/>
    <w:rsid w:val="00F76B3F"/>
    <w:rsid w:val="00F76EB0"/>
    <w:rsid w:val="00F77951"/>
    <w:rsid w:val="00F810BF"/>
    <w:rsid w:val="00F814E7"/>
    <w:rsid w:val="00F82E40"/>
    <w:rsid w:val="00F83D5A"/>
    <w:rsid w:val="00F868A0"/>
    <w:rsid w:val="00F872F8"/>
    <w:rsid w:val="00F90C32"/>
    <w:rsid w:val="00F91C01"/>
    <w:rsid w:val="00F9244C"/>
    <w:rsid w:val="00F95690"/>
    <w:rsid w:val="00F9790F"/>
    <w:rsid w:val="00F97BC6"/>
    <w:rsid w:val="00FA0301"/>
    <w:rsid w:val="00FA06CF"/>
    <w:rsid w:val="00FA2BF1"/>
    <w:rsid w:val="00FA2F87"/>
    <w:rsid w:val="00FA3211"/>
    <w:rsid w:val="00FA3DBD"/>
    <w:rsid w:val="00FA6F19"/>
    <w:rsid w:val="00FA6F57"/>
    <w:rsid w:val="00FA7AB8"/>
    <w:rsid w:val="00FB04D2"/>
    <w:rsid w:val="00FB0A87"/>
    <w:rsid w:val="00FB106F"/>
    <w:rsid w:val="00FB3F06"/>
    <w:rsid w:val="00FB51FE"/>
    <w:rsid w:val="00FB5BA7"/>
    <w:rsid w:val="00FB6946"/>
    <w:rsid w:val="00FB732C"/>
    <w:rsid w:val="00FB7841"/>
    <w:rsid w:val="00FC1297"/>
    <w:rsid w:val="00FC25D7"/>
    <w:rsid w:val="00FC2C74"/>
    <w:rsid w:val="00FC3643"/>
    <w:rsid w:val="00FC3DC8"/>
    <w:rsid w:val="00FC5574"/>
    <w:rsid w:val="00FD00EF"/>
    <w:rsid w:val="00FD17FF"/>
    <w:rsid w:val="00FD3BF8"/>
    <w:rsid w:val="00FD4547"/>
    <w:rsid w:val="00FD51DB"/>
    <w:rsid w:val="00FD523E"/>
    <w:rsid w:val="00FD6DE6"/>
    <w:rsid w:val="00FE0CD4"/>
    <w:rsid w:val="00FE0E31"/>
    <w:rsid w:val="00FE1734"/>
    <w:rsid w:val="00FE22CD"/>
    <w:rsid w:val="00FE317A"/>
    <w:rsid w:val="00FE5BE6"/>
    <w:rsid w:val="00FE6965"/>
    <w:rsid w:val="00FF1291"/>
    <w:rsid w:val="00FF150E"/>
    <w:rsid w:val="00FF2F27"/>
    <w:rsid w:val="00FF3B6B"/>
    <w:rsid w:val="00FF4059"/>
    <w:rsid w:val="00FF44D6"/>
    <w:rsid w:val="00FF459D"/>
    <w:rsid w:val="00FF4F8F"/>
    <w:rsid w:val="00FF70CC"/>
    <w:rsid w:val="00FF77DC"/>
    <w:rsid w:val="01308EA9"/>
    <w:rsid w:val="013968F2"/>
    <w:rsid w:val="018CF11B"/>
    <w:rsid w:val="01AE7101"/>
    <w:rsid w:val="01D043FD"/>
    <w:rsid w:val="01FADAE4"/>
    <w:rsid w:val="02246A09"/>
    <w:rsid w:val="0228FC03"/>
    <w:rsid w:val="022D6CCF"/>
    <w:rsid w:val="0247099A"/>
    <w:rsid w:val="0277D641"/>
    <w:rsid w:val="02EFB2BA"/>
    <w:rsid w:val="03B7536A"/>
    <w:rsid w:val="03E15947"/>
    <w:rsid w:val="04815024"/>
    <w:rsid w:val="0492911E"/>
    <w:rsid w:val="04A4B17E"/>
    <w:rsid w:val="05CA26F7"/>
    <w:rsid w:val="05CBFA10"/>
    <w:rsid w:val="062B8C94"/>
    <w:rsid w:val="0699E2BE"/>
    <w:rsid w:val="06A3089F"/>
    <w:rsid w:val="06B83C14"/>
    <w:rsid w:val="06CFB0B9"/>
    <w:rsid w:val="06F44F63"/>
    <w:rsid w:val="071ADC3B"/>
    <w:rsid w:val="07B9D89D"/>
    <w:rsid w:val="07C76177"/>
    <w:rsid w:val="07C92456"/>
    <w:rsid w:val="07E9AB9A"/>
    <w:rsid w:val="08039E87"/>
    <w:rsid w:val="080A838E"/>
    <w:rsid w:val="0840559B"/>
    <w:rsid w:val="087BAEC7"/>
    <w:rsid w:val="08A8A0C3"/>
    <w:rsid w:val="092B077C"/>
    <w:rsid w:val="09330531"/>
    <w:rsid w:val="093D7084"/>
    <w:rsid w:val="09869558"/>
    <w:rsid w:val="09D00296"/>
    <w:rsid w:val="09E9574C"/>
    <w:rsid w:val="0A48C8C2"/>
    <w:rsid w:val="0A68AF67"/>
    <w:rsid w:val="0A70E11C"/>
    <w:rsid w:val="0B015E23"/>
    <w:rsid w:val="0B3A2D4E"/>
    <w:rsid w:val="0B8BBE85"/>
    <w:rsid w:val="0BBB92DF"/>
    <w:rsid w:val="0C6A3CB5"/>
    <w:rsid w:val="0C85AEB3"/>
    <w:rsid w:val="0C85BBE3"/>
    <w:rsid w:val="0CA211B5"/>
    <w:rsid w:val="0CB15A3C"/>
    <w:rsid w:val="0CB62C0D"/>
    <w:rsid w:val="0CD1A4B9"/>
    <w:rsid w:val="0D2BB2A9"/>
    <w:rsid w:val="0D5AFFB8"/>
    <w:rsid w:val="0D60F6D8"/>
    <w:rsid w:val="0D6BAEAA"/>
    <w:rsid w:val="0D6F3A7F"/>
    <w:rsid w:val="0DB0A86F"/>
    <w:rsid w:val="0DB8D0C4"/>
    <w:rsid w:val="0E0AD714"/>
    <w:rsid w:val="0EC9FAA3"/>
    <w:rsid w:val="0F27BAB7"/>
    <w:rsid w:val="0F981664"/>
    <w:rsid w:val="0FB4BAAE"/>
    <w:rsid w:val="0FD19BF3"/>
    <w:rsid w:val="0FD4CF46"/>
    <w:rsid w:val="1017A94B"/>
    <w:rsid w:val="1033C974"/>
    <w:rsid w:val="105B1DFA"/>
    <w:rsid w:val="1075DBA5"/>
    <w:rsid w:val="10CC27D6"/>
    <w:rsid w:val="10CE133A"/>
    <w:rsid w:val="11698D27"/>
    <w:rsid w:val="116FC789"/>
    <w:rsid w:val="117C7C8B"/>
    <w:rsid w:val="11F45BA2"/>
    <w:rsid w:val="126362B0"/>
    <w:rsid w:val="126E2A93"/>
    <w:rsid w:val="1282CFA7"/>
    <w:rsid w:val="129C9BD3"/>
    <w:rsid w:val="1326ECEA"/>
    <w:rsid w:val="132EE32C"/>
    <w:rsid w:val="1337283C"/>
    <w:rsid w:val="1384BB29"/>
    <w:rsid w:val="13B0C143"/>
    <w:rsid w:val="13D2C72D"/>
    <w:rsid w:val="13DE7C03"/>
    <w:rsid w:val="1440AEEC"/>
    <w:rsid w:val="1459B900"/>
    <w:rsid w:val="149AE280"/>
    <w:rsid w:val="14AF2263"/>
    <w:rsid w:val="14BEF0C8"/>
    <w:rsid w:val="150C2BD4"/>
    <w:rsid w:val="1516BE5F"/>
    <w:rsid w:val="1542950B"/>
    <w:rsid w:val="1618843C"/>
    <w:rsid w:val="163BB105"/>
    <w:rsid w:val="16496D9F"/>
    <w:rsid w:val="16515B25"/>
    <w:rsid w:val="16666FFA"/>
    <w:rsid w:val="16CB3FBD"/>
    <w:rsid w:val="1704E1EE"/>
    <w:rsid w:val="1725182C"/>
    <w:rsid w:val="174BC621"/>
    <w:rsid w:val="174E928D"/>
    <w:rsid w:val="1751209E"/>
    <w:rsid w:val="1768DDB0"/>
    <w:rsid w:val="1776B1DD"/>
    <w:rsid w:val="17C6E8B5"/>
    <w:rsid w:val="17C8A69D"/>
    <w:rsid w:val="187DB297"/>
    <w:rsid w:val="18917655"/>
    <w:rsid w:val="18A04ECF"/>
    <w:rsid w:val="18B3F3B7"/>
    <w:rsid w:val="18ED851B"/>
    <w:rsid w:val="198CB1A1"/>
    <w:rsid w:val="19DB6186"/>
    <w:rsid w:val="19E96A32"/>
    <w:rsid w:val="1A12AC5C"/>
    <w:rsid w:val="1A43C20F"/>
    <w:rsid w:val="1A4CC179"/>
    <w:rsid w:val="1A776F57"/>
    <w:rsid w:val="1A8A6FF8"/>
    <w:rsid w:val="1AA4AAF3"/>
    <w:rsid w:val="1B1B699F"/>
    <w:rsid w:val="1B27A606"/>
    <w:rsid w:val="1BFB889E"/>
    <w:rsid w:val="1C25741A"/>
    <w:rsid w:val="1C357760"/>
    <w:rsid w:val="1C6B0011"/>
    <w:rsid w:val="1CB34061"/>
    <w:rsid w:val="1D49F788"/>
    <w:rsid w:val="1D4B5DCB"/>
    <w:rsid w:val="1D742372"/>
    <w:rsid w:val="1D90C994"/>
    <w:rsid w:val="1DF1A975"/>
    <w:rsid w:val="1E571035"/>
    <w:rsid w:val="1E58F3B1"/>
    <w:rsid w:val="1E5C6D0A"/>
    <w:rsid w:val="1EA2F476"/>
    <w:rsid w:val="1EC31756"/>
    <w:rsid w:val="1EE9D023"/>
    <w:rsid w:val="1EF02F0E"/>
    <w:rsid w:val="1F298A50"/>
    <w:rsid w:val="1F51A2BF"/>
    <w:rsid w:val="1F7502E1"/>
    <w:rsid w:val="1F818BC5"/>
    <w:rsid w:val="1F9B62B2"/>
    <w:rsid w:val="1FE1D47E"/>
    <w:rsid w:val="20A3D6AE"/>
    <w:rsid w:val="20DEB603"/>
    <w:rsid w:val="2163E7F4"/>
    <w:rsid w:val="21DA6177"/>
    <w:rsid w:val="22275878"/>
    <w:rsid w:val="226F69D5"/>
    <w:rsid w:val="227A8664"/>
    <w:rsid w:val="22860DBE"/>
    <w:rsid w:val="22978B62"/>
    <w:rsid w:val="22DA13B2"/>
    <w:rsid w:val="23709DBB"/>
    <w:rsid w:val="237DE345"/>
    <w:rsid w:val="237ED2AA"/>
    <w:rsid w:val="23BB681F"/>
    <w:rsid w:val="241BA8D5"/>
    <w:rsid w:val="24AB0BF8"/>
    <w:rsid w:val="24AD295C"/>
    <w:rsid w:val="25259F72"/>
    <w:rsid w:val="2530E1D0"/>
    <w:rsid w:val="25473D38"/>
    <w:rsid w:val="25966627"/>
    <w:rsid w:val="25AA0009"/>
    <w:rsid w:val="25C18449"/>
    <w:rsid w:val="25DD3D27"/>
    <w:rsid w:val="25F47AE4"/>
    <w:rsid w:val="26053256"/>
    <w:rsid w:val="26825837"/>
    <w:rsid w:val="26969F94"/>
    <w:rsid w:val="26A8A16C"/>
    <w:rsid w:val="26DE5A9E"/>
    <w:rsid w:val="26F30F9E"/>
    <w:rsid w:val="27516693"/>
    <w:rsid w:val="27A7FB3A"/>
    <w:rsid w:val="28087482"/>
    <w:rsid w:val="281F06E2"/>
    <w:rsid w:val="28B603A0"/>
    <w:rsid w:val="291306C4"/>
    <w:rsid w:val="292E3845"/>
    <w:rsid w:val="29B74D76"/>
    <w:rsid w:val="2A020440"/>
    <w:rsid w:val="2A770608"/>
    <w:rsid w:val="2AEA4719"/>
    <w:rsid w:val="2AEFB3F1"/>
    <w:rsid w:val="2AF289C7"/>
    <w:rsid w:val="2B092E2C"/>
    <w:rsid w:val="2B40FBC3"/>
    <w:rsid w:val="2B56653B"/>
    <w:rsid w:val="2B7D7D11"/>
    <w:rsid w:val="2BBA74DD"/>
    <w:rsid w:val="2BBBA738"/>
    <w:rsid w:val="2BFEDB12"/>
    <w:rsid w:val="2C1B30AB"/>
    <w:rsid w:val="2C49C5ED"/>
    <w:rsid w:val="2C8096DB"/>
    <w:rsid w:val="2C8E5A28"/>
    <w:rsid w:val="2CA029CC"/>
    <w:rsid w:val="2CA94CAC"/>
    <w:rsid w:val="2D626587"/>
    <w:rsid w:val="2DCC726B"/>
    <w:rsid w:val="2DE1CDB4"/>
    <w:rsid w:val="2DFFD3E8"/>
    <w:rsid w:val="2E3703B6"/>
    <w:rsid w:val="2E5013AC"/>
    <w:rsid w:val="2EB56468"/>
    <w:rsid w:val="2EBC33F4"/>
    <w:rsid w:val="2F13E95A"/>
    <w:rsid w:val="2F2BBCF2"/>
    <w:rsid w:val="2F9CA283"/>
    <w:rsid w:val="2FA6606D"/>
    <w:rsid w:val="300989CF"/>
    <w:rsid w:val="3016DAA0"/>
    <w:rsid w:val="308A06DB"/>
    <w:rsid w:val="309A0A21"/>
    <w:rsid w:val="31161434"/>
    <w:rsid w:val="31796011"/>
    <w:rsid w:val="317CBDCF"/>
    <w:rsid w:val="31874A05"/>
    <w:rsid w:val="31B210CF"/>
    <w:rsid w:val="31C487C9"/>
    <w:rsid w:val="3217CD7D"/>
    <w:rsid w:val="321BB02E"/>
    <w:rsid w:val="321BD3EF"/>
    <w:rsid w:val="32449002"/>
    <w:rsid w:val="32994C73"/>
    <w:rsid w:val="32B63425"/>
    <w:rsid w:val="33188E30"/>
    <w:rsid w:val="331919EF"/>
    <w:rsid w:val="33205A3C"/>
    <w:rsid w:val="33208FDF"/>
    <w:rsid w:val="332CD99A"/>
    <w:rsid w:val="3348AD50"/>
    <w:rsid w:val="3367CBCD"/>
    <w:rsid w:val="338DF21B"/>
    <w:rsid w:val="33C007E8"/>
    <w:rsid w:val="33C03FF7"/>
    <w:rsid w:val="33CAFEB6"/>
    <w:rsid w:val="33E44D6C"/>
    <w:rsid w:val="33F41AAD"/>
    <w:rsid w:val="3406E9A4"/>
    <w:rsid w:val="345DC7C4"/>
    <w:rsid w:val="348378B9"/>
    <w:rsid w:val="349DCA36"/>
    <w:rsid w:val="34B45E91"/>
    <w:rsid w:val="34D07157"/>
    <w:rsid w:val="34D1858D"/>
    <w:rsid w:val="353B9C97"/>
    <w:rsid w:val="358EF2DB"/>
    <w:rsid w:val="359DB664"/>
    <w:rsid w:val="35E8EF80"/>
    <w:rsid w:val="365D5C1A"/>
    <w:rsid w:val="366CF3C7"/>
    <w:rsid w:val="369DE0F9"/>
    <w:rsid w:val="36AF961D"/>
    <w:rsid w:val="36F4D120"/>
    <w:rsid w:val="37009C09"/>
    <w:rsid w:val="370E0A79"/>
    <w:rsid w:val="3721CB8D"/>
    <w:rsid w:val="372F0CD2"/>
    <w:rsid w:val="37368A31"/>
    <w:rsid w:val="37470278"/>
    <w:rsid w:val="374A6856"/>
    <w:rsid w:val="3785188D"/>
    <w:rsid w:val="37984B72"/>
    <w:rsid w:val="379B9AE2"/>
    <w:rsid w:val="37E57937"/>
    <w:rsid w:val="38272426"/>
    <w:rsid w:val="3830B55B"/>
    <w:rsid w:val="38824692"/>
    <w:rsid w:val="3884E9AB"/>
    <w:rsid w:val="38B4E77D"/>
    <w:rsid w:val="38CDA2CC"/>
    <w:rsid w:val="3917335F"/>
    <w:rsid w:val="39395E81"/>
    <w:rsid w:val="397CA477"/>
    <w:rsid w:val="398E6C1C"/>
    <w:rsid w:val="3996BE49"/>
    <w:rsid w:val="39AC820F"/>
    <w:rsid w:val="3A000A60"/>
    <w:rsid w:val="3A50DAF7"/>
    <w:rsid w:val="3A878A89"/>
    <w:rsid w:val="3A8A813C"/>
    <w:rsid w:val="3AB6250E"/>
    <w:rsid w:val="3B0497CB"/>
    <w:rsid w:val="3B54FB57"/>
    <w:rsid w:val="3B5FA2DE"/>
    <w:rsid w:val="3C48271A"/>
    <w:rsid w:val="3C6347EB"/>
    <w:rsid w:val="3C9BADFD"/>
    <w:rsid w:val="3CC60CDE"/>
    <w:rsid w:val="3D17529D"/>
    <w:rsid w:val="3D37749C"/>
    <w:rsid w:val="3D48FA89"/>
    <w:rsid w:val="3DFDF49B"/>
    <w:rsid w:val="3E5FF48E"/>
    <w:rsid w:val="3E694628"/>
    <w:rsid w:val="3E7FF332"/>
    <w:rsid w:val="3EB168DF"/>
    <w:rsid w:val="3F0F0268"/>
    <w:rsid w:val="3F1BF4B1"/>
    <w:rsid w:val="3F22AA2D"/>
    <w:rsid w:val="3F29E56A"/>
    <w:rsid w:val="3F44CA02"/>
    <w:rsid w:val="3F600326"/>
    <w:rsid w:val="3F975D8A"/>
    <w:rsid w:val="401A8F3E"/>
    <w:rsid w:val="40485475"/>
    <w:rsid w:val="40756FD2"/>
    <w:rsid w:val="40E677E6"/>
    <w:rsid w:val="40E8FC40"/>
    <w:rsid w:val="42032106"/>
    <w:rsid w:val="424BE628"/>
    <w:rsid w:val="43017CBC"/>
    <w:rsid w:val="432ABD49"/>
    <w:rsid w:val="43369F80"/>
    <w:rsid w:val="434AEAEA"/>
    <w:rsid w:val="434E76BF"/>
    <w:rsid w:val="43ACC1D3"/>
    <w:rsid w:val="43AED177"/>
    <w:rsid w:val="43E0887F"/>
    <w:rsid w:val="43E4D70B"/>
    <w:rsid w:val="43E9962B"/>
    <w:rsid w:val="44258580"/>
    <w:rsid w:val="442A6D07"/>
    <w:rsid w:val="44316382"/>
    <w:rsid w:val="449EA396"/>
    <w:rsid w:val="44C1F4B3"/>
    <w:rsid w:val="44EF34B6"/>
    <w:rsid w:val="44F86BA5"/>
    <w:rsid w:val="45640296"/>
    <w:rsid w:val="45EBDCC6"/>
    <w:rsid w:val="45FF11F7"/>
    <w:rsid w:val="45FFCC4C"/>
    <w:rsid w:val="461D6EA0"/>
    <w:rsid w:val="4643F38E"/>
    <w:rsid w:val="46453158"/>
    <w:rsid w:val="46578D70"/>
    <w:rsid w:val="465ED332"/>
    <w:rsid w:val="468B0517"/>
    <w:rsid w:val="468CE784"/>
    <w:rsid w:val="46CD5803"/>
    <w:rsid w:val="46CF0CE2"/>
    <w:rsid w:val="47224F9C"/>
    <w:rsid w:val="47232446"/>
    <w:rsid w:val="4761AA5C"/>
    <w:rsid w:val="47AB4AA2"/>
    <w:rsid w:val="48090BC2"/>
    <w:rsid w:val="481AC841"/>
    <w:rsid w:val="4875BBC8"/>
    <w:rsid w:val="48D95FF5"/>
    <w:rsid w:val="48DFCE46"/>
    <w:rsid w:val="4956E75C"/>
    <w:rsid w:val="496D2648"/>
    <w:rsid w:val="49D70F72"/>
    <w:rsid w:val="49DF71AC"/>
    <w:rsid w:val="49E61B3B"/>
    <w:rsid w:val="49ED3237"/>
    <w:rsid w:val="4A37383C"/>
    <w:rsid w:val="4A525AF6"/>
    <w:rsid w:val="4A6E7C85"/>
    <w:rsid w:val="4A7B9EA7"/>
    <w:rsid w:val="4AAE7B46"/>
    <w:rsid w:val="4ACC3236"/>
    <w:rsid w:val="4ACFCF32"/>
    <w:rsid w:val="4AE7C79B"/>
    <w:rsid w:val="4B2BC53C"/>
    <w:rsid w:val="4B41B165"/>
    <w:rsid w:val="4BA225AE"/>
    <w:rsid w:val="4BE3BE59"/>
    <w:rsid w:val="4C4037F9"/>
    <w:rsid w:val="4C4A4BA7"/>
    <w:rsid w:val="4C94B677"/>
    <w:rsid w:val="4C9C50D8"/>
    <w:rsid w:val="4C9D563F"/>
    <w:rsid w:val="4CCD6849"/>
    <w:rsid w:val="4CDC30A8"/>
    <w:rsid w:val="4CE11E3E"/>
    <w:rsid w:val="4CF5FB53"/>
    <w:rsid w:val="4CFC3796"/>
    <w:rsid w:val="4D0ECDB1"/>
    <w:rsid w:val="4D2109C9"/>
    <w:rsid w:val="4DA04264"/>
    <w:rsid w:val="4DFCFE0E"/>
    <w:rsid w:val="4E75F88E"/>
    <w:rsid w:val="4E9012FF"/>
    <w:rsid w:val="4E9161EB"/>
    <w:rsid w:val="4ECFE2A3"/>
    <w:rsid w:val="4ED3EAAE"/>
    <w:rsid w:val="4EE61792"/>
    <w:rsid w:val="4F41EDA8"/>
    <w:rsid w:val="4F528675"/>
    <w:rsid w:val="4F709E4E"/>
    <w:rsid w:val="4F742AFC"/>
    <w:rsid w:val="4F745971"/>
    <w:rsid w:val="4FB1381B"/>
    <w:rsid w:val="5001BF8B"/>
    <w:rsid w:val="501CA7CC"/>
    <w:rsid w:val="501E088B"/>
    <w:rsid w:val="506D2B2C"/>
    <w:rsid w:val="506EB8D9"/>
    <w:rsid w:val="50F9D661"/>
    <w:rsid w:val="5111DF92"/>
    <w:rsid w:val="516A270B"/>
    <w:rsid w:val="517EC6EF"/>
    <w:rsid w:val="51C8CA28"/>
    <w:rsid w:val="51D2914E"/>
    <w:rsid w:val="524A1A2F"/>
    <w:rsid w:val="52A064CE"/>
    <w:rsid w:val="52B6AA6B"/>
    <w:rsid w:val="52FB5D65"/>
    <w:rsid w:val="53EE9BE2"/>
    <w:rsid w:val="53F6E51F"/>
    <w:rsid w:val="5412CF17"/>
    <w:rsid w:val="5469CAFC"/>
    <w:rsid w:val="550FD58F"/>
    <w:rsid w:val="5517D1BE"/>
    <w:rsid w:val="551F04DC"/>
    <w:rsid w:val="552C1B8C"/>
    <w:rsid w:val="552DE1FB"/>
    <w:rsid w:val="5542850A"/>
    <w:rsid w:val="55878B5B"/>
    <w:rsid w:val="559ADB51"/>
    <w:rsid w:val="559CC932"/>
    <w:rsid w:val="55D21CD6"/>
    <w:rsid w:val="55D39A48"/>
    <w:rsid w:val="5602CE39"/>
    <w:rsid w:val="5626543F"/>
    <w:rsid w:val="56518F9B"/>
    <w:rsid w:val="56A38CDD"/>
    <w:rsid w:val="56C5D436"/>
    <w:rsid w:val="56E8057E"/>
    <w:rsid w:val="5788FE34"/>
    <w:rsid w:val="578FF18C"/>
    <w:rsid w:val="57900199"/>
    <w:rsid w:val="5796CBD3"/>
    <w:rsid w:val="57A98271"/>
    <w:rsid w:val="580DA878"/>
    <w:rsid w:val="58255A40"/>
    <w:rsid w:val="5826D0D5"/>
    <w:rsid w:val="5859C2A4"/>
    <w:rsid w:val="585CD18B"/>
    <w:rsid w:val="5863584F"/>
    <w:rsid w:val="58F351B4"/>
    <w:rsid w:val="591743E7"/>
    <w:rsid w:val="59177D44"/>
    <w:rsid w:val="591ED148"/>
    <w:rsid w:val="59B482CC"/>
    <w:rsid w:val="59E9B503"/>
    <w:rsid w:val="59EDFE9A"/>
    <w:rsid w:val="5A0D5FD2"/>
    <w:rsid w:val="5A68B63C"/>
    <w:rsid w:val="5A820AE9"/>
    <w:rsid w:val="5AAAEACE"/>
    <w:rsid w:val="5AFEFBEC"/>
    <w:rsid w:val="5B1BC287"/>
    <w:rsid w:val="5B4C3E17"/>
    <w:rsid w:val="5B4EC985"/>
    <w:rsid w:val="5B568411"/>
    <w:rsid w:val="5B6A8DDE"/>
    <w:rsid w:val="5BAF5288"/>
    <w:rsid w:val="5C5E427D"/>
    <w:rsid w:val="5C5FF416"/>
    <w:rsid w:val="5C73AB45"/>
    <w:rsid w:val="5C744E8A"/>
    <w:rsid w:val="5C8EA389"/>
    <w:rsid w:val="5CBA4954"/>
    <w:rsid w:val="5D1A94AA"/>
    <w:rsid w:val="5D2C5D7E"/>
    <w:rsid w:val="5DB517C9"/>
    <w:rsid w:val="5E3E8781"/>
    <w:rsid w:val="5E51B6B8"/>
    <w:rsid w:val="5E5E6B37"/>
    <w:rsid w:val="5E768A5F"/>
    <w:rsid w:val="5E7F4364"/>
    <w:rsid w:val="5E963A65"/>
    <w:rsid w:val="5EBD2626"/>
    <w:rsid w:val="5EC0A704"/>
    <w:rsid w:val="5EC90428"/>
    <w:rsid w:val="5EEA0CFB"/>
    <w:rsid w:val="5F344A9A"/>
    <w:rsid w:val="5F50E82A"/>
    <w:rsid w:val="5F857375"/>
    <w:rsid w:val="5FA5A041"/>
    <w:rsid w:val="5FBB8772"/>
    <w:rsid w:val="60285CF6"/>
    <w:rsid w:val="6058F687"/>
    <w:rsid w:val="605AFF15"/>
    <w:rsid w:val="60652D2E"/>
    <w:rsid w:val="6090784D"/>
    <w:rsid w:val="6094DDF7"/>
    <w:rsid w:val="60CFA150"/>
    <w:rsid w:val="60E09E27"/>
    <w:rsid w:val="60E58727"/>
    <w:rsid w:val="60FD8516"/>
    <w:rsid w:val="6118F07C"/>
    <w:rsid w:val="612E9690"/>
    <w:rsid w:val="61399846"/>
    <w:rsid w:val="615CFFE6"/>
    <w:rsid w:val="6174648F"/>
    <w:rsid w:val="61855201"/>
    <w:rsid w:val="61DEC738"/>
    <w:rsid w:val="61F4C6E8"/>
    <w:rsid w:val="627E775D"/>
    <w:rsid w:val="62B092AD"/>
    <w:rsid w:val="62B5FCB3"/>
    <w:rsid w:val="62C0D95D"/>
    <w:rsid w:val="6395A5C3"/>
    <w:rsid w:val="63A5E115"/>
    <w:rsid w:val="63D8BDBD"/>
    <w:rsid w:val="6424594D"/>
    <w:rsid w:val="64411E22"/>
    <w:rsid w:val="64807E76"/>
    <w:rsid w:val="64B400E0"/>
    <w:rsid w:val="6526019B"/>
    <w:rsid w:val="6557A17E"/>
    <w:rsid w:val="65F616E0"/>
    <w:rsid w:val="65F9FB74"/>
    <w:rsid w:val="661F1694"/>
    <w:rsid w:val="6633EA92"/>
    <w:rsid w:val="663760AB"/>
    <w:rsid w:val="66C8380B"/>
    <w:rsid w:val="66DF6585"/>
    <w:rsid w:val="6751E880"/>
    <w:rsid w:val="677B44D0"/>
    <w:rsid w:val="679D69C9"/>
    <w:rsid w:val="67B45FB9"/>
    <w:rsid w:val="67DD7305"/>
    <w:rsid w:val="67E0C4FC"/>
    <w:rsid w:val="68193F32"/>
    <w:rsid w:val="683874F8"/>
    <w:rsid w:val="68876DE2"/>
    <w:rsid w:val="68C0F6D5"/>
    <w:rsid w:val="68EDB8E1"/>
    <w:rsid w:val="68EFEF84"/>
    <w:rsid w:val="690C15DA"/>
    <w:rsid w:val="69432A1D"/>
    <w:rsid w:val="6957A806"/>
    <w:rsid w:val="69B36996"/>
    <w:rsid w:val="69BB21FF"/>
    <w:rsid w:val="69D8C500"/>
    <w:rsid w:val="6A07C653"/>
    <w:rsid w:val="6A0B92EC"/>
    <w:rsid w:val="6A649F18"/>
    <w:rsid w:val="6A726108"/>
    <w:rsid w:val="6A981C82"/>
    <w:rsid w:val="6ACB4DF0"/>
    <w:rsid w:val="6B9A7BD2"/>
    <w:rsid w:val="6B9BA92E"/>
    <w:rsid w:val="6C0C64EE"/>
    <w:rsid w:val="6C20E3F7"/>
    <w:rsid w:val="6C61885F"/>
    <w:rsid w:val="6C7643C4"/>
    <w:rsid w:val="6CC1DABE"/>
    <w:rsid w:val="6CDF261C"/>
    <w:rsid w:val="6CE750A4"/>
    <w:rsid w:val="6D122BFD"/>
    <w:rsid w:val="6D49DE3F"/>
    <w:rsid w:val="6DE6195E"/>
    <w:rsid w:val="6DEB0058"/>
    <w:rsid w:val="6E1DF227"/>
    <w:rsid w:val="6E54CAA8"/>
    <w:rsid w:val="6E5C0551"/>
    <w:rsid w:val="6E9C33CF"/>
    <w:rsid w:val="6EADFC5E"/>
    <w:rsid w:val="6ED349F0"/>
    <w:rsid w:val="6F2EBD97"/>
    <w:rsid w:val="6F3EEF52"/>
    <w:rsid w:val="6F9471DB"/>
    <w:rsid w:val="6FB68A0D"/>
    <w:rsid w:val="7049CCBF"/>
    <w:rsid w:val="705E156A"/>
    <w:rsid w:val="707707D7"/>
    <w:rsid w:val="70A24E2F"/>
    <w:rsid w:val="714BB80B"/>
    <w:rsid w:val="715C8C04"/>
    <w:rsid w:val="717F276B"/>
    <w:rsid w:val="71BF9D53"/>
    <w:rsid w:val="71D1A82A"/>
    <w:rsid w:val="71DD709F"/>
    <w:rsid w:val="720AEAB2"/>
    <w:rsid w:val="7237AACB"/>
    <w:rsid w:val="72834C01"/>
    <w:rsid w:val="72AAEA69"/>
    <w:rsid w:val="72B15F97"/>
    <w:rsid w:val="72D799D8"/>
    <w:rsid w:val="7308FA0F"/>
    <w:rsid w:val="7334F5E0"/>
    <w:rsid w:val="73390964"/>
    <w:rsid w:val="73885E1A"/>
    <w:rsid w:val="738B8A37"/>
    <w:rsid w:val="74443ABD"/>
    <w:rsid w:val="7451642B"/>
    <w:rsid w:val="745A69E8"/>
    <w:rsid w:val="74E1A5A8"/>
    <w:rsid w:val="7518E9EC"/>
    <w:rsid w:val="75523B63"/>
    <w:rsid w:val="75A7A022"/>
    <w:rsid w:val="75DE3AFE"/>
    <w:rsid w:val="75F6123D"/>
    <w:rsid w:val="75F63A49"/>
    <w:rsid w:val="75FAFFD3"/>
    <w:rsid w:val="76FDC7C9"/>
    <w:rsid w:val="77263ED2"/>
    <w:rsid w:val="772C60ED"/>
    <w:rsid w:val="7791E29E"/>
    <w:rsid w:val="77A277CD"/>
    <w:rsid w:val="78991EBE"/>
    <w:rsid w:val="7899982A"/>
    <w:rsid w:val="78B34986"/>
    <w:rsid w:val="78C8314E"/>
    <w:rsid w:val="78DF909D"/>
    <w:rsid w:val="793B4D44"/>
    <w:rsid w:val="793BA867"/>
    <w:rsid w:val="7946DB5C"/>
    <w:rsid w:val="7985A593"/>
    <w:rsid w:val="79BBB08B"/>
    <w:rsid w:val="79CFC2CE"/>
    <w:rsid w:val="79DDADF3"/>
    <w:rsid w:val="7A0AAC0B"/>
    <w:rsid w:val="7A0BD822"/>
    <w:rsid w:val="7A0C2D91"/>
    <w:rsid w:val="7A19886C"/>
    <w:rsid w:val="7A1DEA1D"/>
    <w:rsid w:val="7A5FB70D"/>
    <w:rsid w:val="7A812CDD"/>
    <w:rsid w:val="7B47DA9C"/>
    <w:rsid w:val="7BF30127"/>
    <w:rsid w:val="7C267958"/>
    <w:rsid w:val="7C2D2EA5"/>
    <w:rsid w:val="7C6345D7"/>
    <w:rsid w:val="7C6A4157"/>
    <w:rsid w:val="7C890289"/>
    <w:rsid w:val="7C8DD47D"/>
    <w:rsid w:val="7CB0C20F"/>
    <w:rsid w:val="7CB97FF7"/>
    <w:rsid w:val="7CBD26E8"/>
    <w:rsid w:val="7CC0C568"/>
    <w:rsid w:val="7CEC41E4"/>
    <w:rsid w:val="7D280A12"/>
    <w:rsid w:val="7D5C1E9B"/>
    <w:rsid w:val="7D645C62"/>
    <w:rsid w:val="7DF0851E"/>
    <w:rsid w:val="7DF51D01"/>
    <w:rsid w:val="7DFE1039"/>
    <w:rsid w:val="7E000B93"/>
    <w:rsid w:val="7E783BF8"/>
    <w:rsid w:val="7ECB10C1"/>
    <w:rsid w:val="7EF15B40"/>
    <w:rsid w:val="7EF498F2"/>
    <w:rsid w:val="7F177D0A"/>
    <w:rsid w:val="7F1A0E5F"/>
    <w:rsid w:val="7F758A95"/>
    <w:rsid w:val="7FADE5BE"/>
    <w:rsid w:val="7FAF2C24"/>
    <w:rsid w:val="7FCBF5D6"/>
    <w:rsid w:val="7FDD63C7"/>
    <w:rsid w:val="7FF120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50C4C5"/>
  <w15:chartTrackingRefBased/>
  <w15:docId w15:val="{A137412B-8520-420C-8B5E-55C69049D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F85"/>
    <w:rPr>
      <w:lang w:val="en-CA"/>
    </w:rPr>
  </w:style>
  <w:style w:type="paragraph" w:styleId="Heading1">
    <w:name w:val="heading 1"/>
    <w:basedOn w:val="Normal"/>
    <w:next w:val="Normal"/>
    <w:link w:val="Heading1Char"/>
    <w:uiPriority w:val="9"/>
    <w:qFormat/>
    <w:rsid w:val="007F5F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DF385C"/>
    <w:pPr>
      <w:keepNext w:val="0"/>
      <w:keepLines w:val="0"/>
      <w:widowControl w:val="0"/>
      <w:spacing w:before="0" w:line="240" w:lineRule="auto"/>
      <w:outlineLvl w:val="1"/>
    </w:pPr>
    <w:rPr>
      <w:rFonts w:ascii="Open Sans SemiBold" w:hAnsi="Open Sans SemiBold" w:cs="Open Sans SemiBold"/>
      <w:u w:val="single"/>
    </w:rPr>
  </w:style>
  <w:style w:type="paragraph" w:styleId="Heading3">
    <w:name w:val="heading 3"/>
    <w:basedOn w:val="Normal"/>
    <w:next w:val="Normal"/>
    <w:link w:val="Heading3Char"/>
    <w:uiPriority w:val="9"/>
    <w:unhideWhenUsed/>
    <w:qFormat/>
    <w:rsid w:val="007F5F85"/>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unhideWhenUsed/>
    <w:qFormat/>
    <w:rsid w:val="007F5F85"/>
    <w:pPr>
      <w:keepNext/>
      <w:keepLines/>
      <w:spacing w:before="40" w:after="0"/>
      <w:outlineLvl w:val="3"/>
    </w:pPr>
    <w:rPr>
      <w:i/>
      <w:iCs/>
    </w:rPr>
  </w:style>
  <w:style w:type="paragraph" w:styleId="Heading5">
    <w:name w:val="heading 5"/>
    <w:basedOn w:val="Normal"/>
    <w:next w:val="Normal"/>
    <w:link w:val="Heading5Char"/>
    <w:uiPriority w:val="9"/>
    <w:unhideWhenUsed/>
    <w:qFormat/>
    <w:rsid w:val="007F5F85"/>
    <w:pPr>
      <w:keepNext/>
      <w:keepLines/>
      <w:spacing w:before="40" w:after="0"/>
      <w:outlineLvl w:val="4"/>
    </w:pPr>
    <w:rPr>
      <w:color w:val="2F5496" w:themeColor="accent1" w:themeShade="BF"/>
    </w:rPr>
  </w:style>
  <w:style w:type="paragraph" w:styleId="Heading6">
    <w:name w:val="heading 6"/>
    <w:basedOn w:val="Normal"/>
    <w:next w:val="Normal"/>
    <w:link w:val="Heading6Char"/>
    <w:uiPriority w:val="9"/>
    <w:semiHidden/>
    <w:unhideWhenUsed/>
    <w:qFormat/>
    <w:rsid w:val="007F5F85"/>
    <w:pPr>
      <w:keepNext/>
      <w:keepLines/>
      <w:spacing w:before="40" w:after="0"/>
      <w:outlineLvl w:val="5"/>
    </w:pPr>
    <w:rPr>
      <w:color w:val="1F3864" w:themeColor="accent1" w:themeShade="80"/>
    </w:rPr>
  </w:style>
  <w:style w:type="paragraph" w:styleId="Heading7">
    <w:name w:val="heading 7"/>
    <w:basedOn w:val="Normal"/>
    <w:next w:val="Normal"/>
    <w:link w:val="Heading7Char"/>
    <w:uiPriority w:val="9"/>
    <w:semiHidden/>
    <w:unhideWhenUsed/>
    <w:qFormat/>
    <w:rsid w:val="007F5F85"/>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7F5F85"/>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7F5F8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F8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F385C"/>
    <w:rPr>
      <w:rFonts w:ascii="Open Sans SemiBold" w:eastAsiaTheme="majorEastAsia" w:hAnsi="Open Sans SemiBold" w:cs="Open Sans SemiBold"/>
      <w:color w:val="2F5496" w:themeColor="accent1" w:themeShade="BF"/>
      <w:sz w:val="32"/>
      <w:szCs w:val="32"/>
      <w:u w:val="single"/>
    </w:rPr>
  </w:style>
  <w:style w:type="character" w:customStyle="1" w:styleId="Heading3Char">
    <w:name w:val="Heading 3 Char"/>
    <w:basedOn w:val="DefaultParagraphFont"/>
    <w:link w:val="Heading3"/>
    <w:uiPriority w:val="9"/>
    <w:rsid w:val="007F5F85"/>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rsid w:val="007F5F85"/>
    <w:rPr>
      <w:i/>
      <w:iCs/>
    </w:rPr>
  </w:style>
  <w:style w:type="character" w:customStyle="1" w:styleId="Heading5Char">
    <w:name w:val="Heading 5 Char"/>
    <w:basedOn w:val="DefaultParagraphFont"/>
    <w:link w:val="Heading5"/>
    <w:uiPriority w:val="9"/>
    <w:rsid w:val="007F5F85"/>
    <w:rPr>
      <w:color w:val="2F5496" w:themeColor="accent1" w:themeShade="BF"/>
    </w:rPr>
  </w:style>
  <w:style w:type="character" w:customStyle="1" w:styleId="Heading6Char">
    <w:name w:val="Heading 6 Char"/>
    <w:basedOn w:val="DefaultParagraphFont"/>
    <w:link w:val="Heading6"/>
    <w:uiPriority w:val="9"/>
    <w:semiHidden/>
    <w:rsid w:val="007F5F85"/>
    <w:rPr>
      <w:color w:val="1F3864" w:themeColor="accent1" w:themeShade="80"/>
    </w:rPr>
  </w:style>
  <w:style w:type="character" w:customStyle="1" w:styleId="Heading7Char">
    <w:name w:val="Heading 7 Char"/>
    <w:basedOn w:val="DefaultParagraphFont"/>
    <w:link w:val="Heading7"/>
    <w:uiPriority w:val="9"/>
    <w:semiHidden/>
    <w:rsid w:val="007F5F85"/>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7F5F85"/>
    <w:rPr>
      <w:color w:val="262626" w:themeColor="text1" w:themeTint="D9"/>
      <w:sz w:val="21"/>
      <w:szCs w:val="21"/>
    </w:rPr>
  </w:style>
  <w:style w:type="character" w:customStyle="1" w:styleId="Heading9Char">
    <w:name w:val="Heading 9 Char"/>
    <w:basedOn w:val="DefaultParagraphFont"/>
    <w:link w:val="Heading9"/>
    <w:uiPriority w:val="9"/>
    <w:semiHidden/>
    <w:rsid w:val="007F5F85"/>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unhideWhenUsed/>
    <w:qFormat/>
    <w:rsid w:val="007F5F85"/>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7F5F85"/>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F5F85"/>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7F5F85"/>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7F5F85"/>
    <w:rPr>
      <w:color w:val="5A5A5A" w:themeColor="text1" w:themeTint="A5"/>
      <w:spacing w:val="15"/>
    </w:rPr>
  </w:style>
  <w:style w:type="character" w:styleId="Strong">
    <w:name w:val="Strong"/>
    <w:basedOn w:val="DefaultParagraphFont"/>
    <w:uiPriority w:val="22"/>
    <w:qFormat/>
    <w:rsid w:val="007F5F85"/>
    <w:rPr>
      <w:b/>
      <w:bCs/>
      <w:color w:val="auto"/>
    </w:rPr>
  </w:style>
  <w:style w:type="character" w:styleId="Emphasis">
    <w:name w:val="Emphasis"/>
    <w:basedOn w:val="DefaultParagraphFont"/>
    <w:uiPriority w:val="20"/>
    <w:qFormat/>
    <w:rsid w:val="007F5F85"/>
    <w:rPr>
      <w:i/>
      <w:iCs/>
      <w:color w:val="auto"/>
    </w:rPr>
  </w:style>
  <w:style w:type="paragraph" w:styleId="NoSpacing">
    <w:name w:val="No Spacing"/>
    <w:uiPriority w:val="1"/>
    <w:qFormat/>
    <w:rsid w:val="007F5F85"/>
    <w:pPr>
      <w:spacing w:after="0" w:line="240" w:lineRule="auto"/>
    </w:pPr>
  </w:style>
  <w:style w:type="paragraph" w:styleId="Quote">
    <w:name w:val="Quote"/>
    <w:basedOn w:val="Normal"/>
    <w:next w:val="Normal"/>
    <w:link w:val="QuoteChar"/>
    <w:uiPriority w:val="29"/>
    <w:qFormat/>
    <w:rsid w:val="007F5F85"/>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7F5F85"/>
    <w:rPr>
      <w:i/>
      <w:iCs/>
      <w:color w:val="404040" w:themeColor="text1" w:themeTint="BF"/>
    </w:rPr>
  </w:style>
  <w:style w:type="paragraph" w:styleId="IntenseQuote">
    <w:name w:val="Intense Quote"/>
    <w:basedOn w:val="Normal"/>
    <w:next w:val="Normal"/>
    <w:link w:val="IntenseQuoteChar"/>
    <w:uiPriority w:val="30"/>
    <w:qFormat/>
    <w:rsid w:val="007F5F8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5F85"/>
    <w:rPr>
      <w:i/>
      <w:iCs/>
      <w:color w:val="4472C4" w:themeColor="accent1"/>
    </w:rPr>
  </w:style>
  <w:style w:type="character" w:styleId="SubtleEmphasis">
    <w:name w:val="Subtle Emphasis"/>
    <w:basedOn w:val="DefaultParagraphFont"/>
    <w:uiPriority w:val="19"/>
    <w:qFormat/>
    <w:rsid w:val="007F5F85"/>
    <w:rPr>
      <w:i/>
      <w:iCs/>
      <w:color w:val="404040" w:themeColor="text1" w:themeTint="BF"/>
    </w:rPr>
  </w:style>
  <w:style w:type="character" w:styleId="IntenseEmphasis">
    <w:name w:val="Intense Emphasis"/>
    <w:basedOn w:val="DefaultParagraphFont"/>
    <w:uiPriority w:val="21"/>
    <w:qFormat/>
    <w:rsid w:val="007F5F85"/>
    <w:rPr>
      <w:i/>
      <w:iCs/>
      <w:color w:val="4472C4" w:themeColor="accent1"/>
    </w:rPr>
  </w:style>
  <w:style w:type="character" w:styleId="SubtleReference">
    <w:name w:val="Subtle Reference"/>
    <w:basedOn w:val="DefaultParagraphFont"/>
    <w:uiPriority w:val="31"/>
    <w:qFormat/>
    <w:rsid w:val="007F5F85"/>
    <w:rPr>
      <w:smallCaps/>
      <w:color w:val="404040" w:themeColor="text1" w:themeTint="BF"/>
    </w:rPr>
  </w:style>
  <w:style w:type="character" w:styleId="IntenseReference">
    <w:name w:val="Intense Reference"/>
    <w:basedOn w:val="DefaultParagraphFont"/>
    <w:uiPriority w:val="32"/>
    <w:qFormat/>
    <w:rsid w:val="007F5F85"/>
    <w:rPr>
      <w:b/>
      <w:bCs/>
      <w:smallCaps/>
      <w:color w:val="4472C4" w:themeColor="accent1"/>
      <w:spacing w:val="5"/>
    </w:rPr>
  </w:style>
  <w:style w:type="character" w:styleId="BookTitle">
    <w:name w:val="Book Title"/>
    <w:basedOn w:val="DefaultParagraphFont"/>
    <w:uiPriority w:val="33"/>
    <w:qFormat/>
    <w:rsid w:val="007F5F85"/>
    <w:rPr>
      <w:b/>
      <w:bCs/>
      <w:i/>
      <w:iCs/>
      <w:spacing w:val="5"/>
    </w:rPr>
  </w:style>
  <w:style w:type="paragraph" w:styleId="TOCHeading">
    <w:name w:val="TOC Heading"/>
    <w:basedOn w:val="Heading1"/>
    <w:next w:val="Normal"/>
    <w:uiPriority w:val="39"/>
    <w:semiHidden/>
    <w:unhideWhenUsed/>
    <w:qFormat/>
    <w:rsid w:val="007F5F85"/>
    <w:pPr>
      <w:outlineLvl w:val="9"/>
    </w:pPr>
  </w:style>
  <w:style w:type="paragraph" w:styleId="Header">
    <w:name w:val="header"/>
    <w:basedOn w:val="Normal"/>
    <w:link w:val="HeaderChar"/>
    <w:uiPriority w:val="99"/>
    <w:unhideWhenUsed/>
    <w:rsid w:val="00E77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99D"/>
  </w:style>
  <w:style w:type="paragraph" w:styleId="Footer">
    <w:name w:val="footer"/>
    <w:basedOn w:val="Normal"/>
    <w:link w:val="FooterChar"/>
    <w:uiPriority w:val="99"/>
    <w:unhideWhenUsed/>
    <w:rsid w:val="00E77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99D"/>
  </w:style>
  <w:style w:type="character" w:styleId="PlaceholderText">
    <w:name w:val="Placeholder Text"/>
    <w:basedOn w:val="DefaultParagraphFont"/>
    <w:uiPriority w:val="99"/>
    <w:semiHidden/>
    <w:rsid w:val="006C2907"/>
    <w:rPr>
      <w:color w:val="808080"/>
    </w:rPr>
  </w:style>
  <w:style w:type="character" w:styleId="CommentReference">
    <w:name w:val="annotation reference"/>
    <w:basedOn w:val="DefaultParagraphFont"/>
    <w:uiPriority w:val="99"/>
    <w:semiHidden/>
    <w:unhideWhenUsed/>
    <w:rsid w:val="00A476F5"/>
    <w:rPr>
      <w:sz w:val="16"/>
      <w:szCs w:val="16"/>
    </w:rPr>
  </w:style>
  <w:style w:type="paragraph" w:styleId="CommentText">
    <w:name w:val="annotation text"/>
    <w:basedOn w:val="Normal"/>
    <w:link w:val="CommentTextChar"/>
    <w:uiPriority w:val="99"/>
    <w:unhideWhenUsed/>
    <w:rsid w:val="00A476F5"/>
    <w:pPr>
      <w:spacing w:line="240" w:lineRule="auto"/>
    </w:pPr>
    <w:rPr>
      <w:sz w:val="20"/>
      <w:szCs w:val="20"/>
    </w:rPr>
  </w:style>
  <w:style w:type="character" w:customStyle="1" w:styleId="CommentTextChar">
    <w:name w:val="Comment Text Char"/>
    <w:basedOn w:val="DefaultParagraphFont"/>
    <w:link w:val="CommentText"/>
    <w:uiPriority w:val="99"/>
    <w:rsid w:val="00A476F5"/>
    <w:rPr>
      <w:sz w:val="20"/>
      <w:szCs w:val="20"/>
    </w:rPr>
  </w:style>
  <w:style w:type="paragraph" w:styleId="CommentSubject">
    <w:name w:val="annotation subject"/>
    <w:basedOn w:val="CommentText"/>
    <w:next w:val="CommentText"/>
    <w:link w:val="CommentSubjectChar"/>
    <w:uiPriority w:val="99"/>
    <w:semiHidden/>
    <w:unhideWhenUsed/>
    <w:rsid w:val="00A476F5"/>
    <w:rPr>
      <w:b/>
      <w:bCs/>
    </w:rPr>
  </w:style>
  <w:style w:type="character" w:customStyle="1" w:styleId="CommentSubjectChar">
    <w:name w:val="Comment Subject Char"/>
    <w:basedOn w:val="CommentTextChar"/>
    <w:link w:val="CommentSubject"/>
    <w:uiPriority w:val="99"/>
    <w:semiHidden/>
    <w:rsid w:val="00A476F5"/>
    <w:rPr>
      <w:b/>
      <w:bCs/>
      <w:sz w:val="20"/>
      <w:szCs w:val="20"/>
    </w:rPr>
  </w:style>
  <w:style w:type="table" w:styleId="TableGrid">
    <w:name w:val="Table Grid"/>
    <w:basedOn w:val="TableNormal"/>
    <w:uiPriority w:val="39"/>
    <w:rsid w:val="00410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0138"/>
    <w:pPr>
      <w:spacing w:after="0" w:line="240" w:lineRule="auto"/>
    </w:pPr>
  </w:style>
  <w:style w:type="paragraph" w:styleId="ListParagraph">
    <w:name w:val="List Paragraph"/>
    <w:basedOn w:val="Normal"/>
    <w:uiPriority w:val="34"/>
    <w:qFormat/>
    <w:rsid w:val="00D60138"/>
    <w:pPr>
      <w:ind w:left="720"/>
      <w:contextualSpacing/>
    </w:pPr>
  </w:style>
  <w:style w:type="table" w:customStyle="1" w:styleId="TableGrid1">
    <w:name w:val="Table Grid1"/>
    <w:basedOn w:val="TableNormal"/>
    <w:next w:val="TableGrid"/>
    <w:uiPriority w:val="39"/>
    <w:rsid w:val="00B93E65"/>
    <w:pPr>
      <w:spacing w:after="0" w:line="240" w:lineRule="auto"/>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E44402"/>
    <w:rPr>
      <w:rFonts w:ascii="HelveticaNeueLTStd-Lt" w:hAnsi="HelveticaNeueLTStd-Lt" w:hint="default"/>
      <w:b w:val="0"/>
      <w:bCs w:val="0"/>
      <w:i w:val="0"/>
      <w:iCs w:val="0"/>
      <w:color w:val="231F20"/>
      <w:sz w:val="18"/>
      <w:szCs w:val="18"/>
    </w:rPr>
  </w:style>
  <w:style w:type="character" w:customStyle="1" w:styleId="ng-isolate-scope">
    <w:name w:val="ng-isolate-scope"/>
    <w:basedOn w:val="DefaultParagraphFont"/>
    <w:rsid w:val="00D04DCB"/>
  </w:style>
  <w:style w:type="character" w:styleId="Hyperlink">
    <w:name w:val="Hyperlink"/>
    <w:basedOn w:val="DefaultParagraphFont"/>
    <w:uiPriority w:val="99"/>
    <w:unhideWhenUsed/>
    <w:rsid w:val="00D04DCB"/>
    <w:rPr>
      <w:color w:val="0000FF"/>
      <w:u w:val="single"/>
    </w:rPr>
  </w:style>
  <w:style w:type="paragraph" w:customStyle="1" w:styleId="citation">
    <w:name w:val="citation"/>
    <w:basedOn w:val="Normal"/>
    <w:qFormat/>
    <w:rsid w:val="00D2377A"/>
    <w:pPr>
      <w:keepLines/>
      <w:spacing w:before="120" w:after="120" w:line="240" w:lineRule="auto"/>
      <w:ind w:left="360" w:hanging="360"/>
    </w:pPr>
    <w:rPr>
      <w:rFonts w:ascii="Arial" w:eastAsia="Times New Roman" w:hAnsi="Arial" w:cs="Times New Roman"/>
    </w:rPr>
  </w:style>
  <w:style w:type="character" w:styleId="UnresolvedMention">
    <w:name w:val="Unresolved Mention"/>
    <w:basedOn w:val="DefaultParagraphFont"/>
    <w:uiPriority w:val="99"/>
    <w:semiHidden/>
    <w:unhideWhenUsed/>
    <w:rsid w:val="005169D1"/>
    <w:rPr>
      <w:color w:val="605E5C"/>
      <w:shd w:val="clear" w:color="auto" w:fill="E1DFDD"/>
    </w:rPr>
  </w:style>
  <w:style w:type="paragraph" w:styleId="BalloonText">
    <w:name w:val="Balloon Text"/>
    <w:basedOn w:val="Normal"/>
    <w:link w:val="BalloonTextChar"/>
    <w:uiPriority w:val="99"/>
    <w:semiHidden/>
    <w:unhideWhenUsed/>
    <w:rsid w:val="0000264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264E"/>
    <w:rPr>
      <w:rFonts w:ascii="Segoe UI" w:hAnsi="Segoe UI" w:cs="Segoe UI"/>
      <w:sz w:val="18"/>
      <w:szCs w:val="18"/>
      <w:lang w:val="en-CA"/>
    </w:rPr>
  </w:style>
  <w:style w:type="character" w:customStyle="1" w:styleId="dl-i-title">
    <w:name w:val="dl-i-title"/>
    <w:basedOn w:val="DefaultParagraphFont"/>
    <w:rsid w:val="004631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5609305">
      <w:bodyDiv w:val="1"/>
      <w:marLeft w:val="0"/>
      <w:marRight w:val="0"/>
      <w:marTop w:val="0"/>
      <w:marBottom w:val="0"/>
      <w:divBdr>
        <w:top w:val="none" w:sz="0" w:space="0" w:color="auto"/>
        <w:left w:val="none" w:sz="0" w:space="0" w:color="auto"/>
        <w:bottom w:val="none" w:sz="0" w:space="0" w:color="auto"/>
        <w:right w:val="none" w:sz="0" w:space="0" w:color="auto"/>
      </w:divBdr>
    </w:div>
    <w:div w:id="1000305146">
      <w:bodyDiv w:val="1"/>
      <w:marLeft w:val="0"/>
      <w:marRight w:val="0"/>
      <w:marTop w:val="0"/>
      <w:marBottom w:val="0"/>
      <w:divBdr>
        <w:top w:val="none" w:sz="0" w:space="0" w:color="auto"/>
        <w:left w:val="none" w:sz="0" w:space="0" w:color="auto"/>
        <w:bottom w:val="none" w:sz="0" w:space="0" w:color="auto"/>
        <w:right w:val="none" w:sz="0" w:space="0" w:color="auto"/>
      </w:divBdr>
    </w:div>
    <w:div w:id="1041245254">
      <w:bodyDiv w:val="1"/>
      <w:marLeft w:val="0"/>
      <w:marRight w:val="0"/>
      <w:marTop w:val="0"/>
      <w:marBottom w:val="0"/>
      <w:divBdr>
        <w:top w:val="none" w:sz="0" w:space="0" w:color="auto"/>
        <w:left w:val="none" w:sz="0" w:space="0" w:color="auto"/>
        <w:bottom w:val="none" w:sz="0" w:space="0" w:color="auto"/>
        <w:right w:val="none" w:sz="0" w:space="0" w:color="auto"/>
      </w:divBdr>
    </w:div>
    <w:div w:id="1122382647">
      <w:bodyDiv w:val="1"/>
      <w:marLeft w:val="0"/>
      <w:marRight w:val="0"/>
      <w:marTop w:val="0"/>
      <w:marBottom w:val="0"/>
      <w:divBdr>
        <w:top w:val="none" w:sz="0" w:space="0" w:color="auto"/>
        <w:left w:val="none" w:sz="0" w:space="0" w:color="auto"/>
        <w:bottom w:val="none" w:sz="0" w:space="0" w:color="auto"/>
        <w:right w:val="none" w:sz="0" w:space="0" w:color="auto"/>
      </w:divBdr>
    </w:div>
    <w:div w:id="1150361460">
      <w:bodyDiv w:val="1"/>
      <w:marLeft w:val="0"/>
      <w:marRight w:val="0"/>
      <w:marTop w:val="0"/>
      <w:marBottom w:val="0"/>
      <w:divBdr>
        <w:top w:val="none" w:sz="0" w:space="0" w:color="auto"/>
        <w:left w:val="none" w:sz="0" w:space="0" w:color="auto"/>
        <w:bottom w:val="none" w:sz="0" w:space="0" w:color="auto"/>
        <w:right w:val="none" w:sz="0" w:space="0" w:color="auto"/>
      </w:divBdr>
      <w:divsChild>
        <w:div w:id="1149595126">
          <w:marLeft w:val="0"/>
          <w:marRight w:val="0"/>
          <w:marTop w:val="0"/>
          <w:marBottom w:val="0"/>
          <w:divBdr>
            <w:top w:val="none" w:sz="0" w:space="0" w:color="auto"/>
            <w:left w:val="none" w:sz="0" w:space="0" w:color="auto"/>
            <w:bottom w:val="none" w:sz="0" w:space="0" w:color="auto"/>
            <w:right w:val="none" w:sz="0" w:space="0" w:color="auto"/>
          </w:divBdr>
        </w:div>
        <w:div w:id="268129113">
          <w:marLeft w:val="0"/>
          <w:marRight w:val="0"/>
          <w:marTop w:val="0"/>
          <w:marBottom w:val="0"/>
          <w:divBdr>
            <w:top w:val="none" w:sz="0" w:space="0" w:color="auto"/>
            <w:left w:val="none" w:sz="0" w:space="0" w:color="auto"/>
            <w:bottom w:val="none" w:sz="0" w:space="0" w:color="auto"/>
            <w:right w:val="none" w:sz="0" w:space="0" w:color="auto"/>
          </w:divBdr>
        </w:div>
        <w:div w:id="633877810">
          <w:marLeft w:val="0"/>
          <w:marRight w:val="0"/>
          <w:marTop w:val="0"/>
          <w:marBottom w:val="0"/>
          <w:divBdr>
            <w:top w:val="none" w:sz="0" w:space="0" w:color="auto"/>
            <w:left w:val="none" w:sz="0" w:space="0" w:color="auto"/>
            <w:bottom w:val="none" w:sz="0" w:space="0" w:color="auto"/>
            <w:right w:val="none" w:sz="0" w:space="0" w:color="auto"/>
          </w:divBdr>
        </w:div>
        <w:div w:id="1765998675">
          <w:marLeft w:val="0"/>
          <w:marRight w:val="0"/>
          <w:marTop w:val="0"/>
          <w:marBottom w:val="0"/>
          <w:divBdr>
            <w:top w:val="none" w:sz="0" w:space="0" w:color="auto"/>
            <w:left w:val="none" w:sz="0" w:space="0" w:color="auto"/>
            <w:bottom w:val="none" w:sz="0" w:space="0" w:color="auto"/>
            <w:right w:val="none" w:sz="0" w:space="0" w:color="auto"/>
          </w:divBdr>
        </w:div>
        <w:div w:id="2031222886">
          <w:marLeft w:val="0"/>
          <w:marRight w:val="0"/>
          <w:marTop w:val="0"/>
          <w:marBottom w:val="0"/>
          <w:divBdr>
            <w:top w:val="none" w:sz="0" w:space="0" w:color="auto"/>
            <w:left w:val="none" w:sz="0" w:space="0" w:color="auto"/>
            <w:bottom w:val="none" w:sz="0" w:space="0" w:color="auto"/>
            <w:right w:val="none" w:sz="0" w:space="0" w:color="auto"/>
          </w:divBdr>
        </w:div>
        <w:div w:id="1375303584">
          <w:marLeft w:val="0"/>
          <w:marRight w:val="0"/>
          <w:marTop w:val="0"/>
          <w:marBottom w:val="0"/>
          <w:divBdr>
            <w:top w:val="none" w:sz="0" w:space="0" w:color="auto"/>
            <w:left w:val="none" w:sz="0" w:space="0" w:color="auto"/>
            <w:bottom w:val="none" w:sz="0" w:space="0" w:color="auto"/>
            <w:right w:val="none" w:sz="0" w:space="0" w:color="auto"/>
          </w:divBdr>
        </w:div>
        <w:div w:id="1688172140">
          <w:marLeft w:val="0"/>
          <w:marRight w:val="0"/>
          <w:marTop w:val="0"/>
          <w:marBottom w:val="0"/>
          <w:divBdr>
            <w:top w:val="none" w:sz="0" w:space="0" w:color="auto"/>
            <w:left w:val="none" w:sz="0" w:space="0" w:color="auto"/>
            <w:bottom w:val="none" w:sz="0" w:space="0" w:color="auto"/>
            <w:right w:val="none" w:sz="0" w:space="0" w:color="auto"/>
          </w:divBdr>
        </w:div>
        <w:div w:id="953705825">
          <w:marLeft w:val="0"/>
          <w:marRight w:val="0"/>
          <w:marTop w:val="0"/>
          <w:marBottom w:val="0"/>
          <w:divBdr>
            <w:top w:val="none" w:sz="0" w:space="0" w:color="auto"/>
            <w:left w:val="none" w:sz="0" w:space="0" w:color="auto"/>
            <w:bottom w:val="none" w:sz="0" w:space="0" w:color="auto"/>
            <w:right w:val="none" w:sz="0" w:space="0" w:color="auto"/>
          </w:divBdr>
        </w:div>
        <w:div w:id="1656641088">
          <w:marLeft w:val="0"/>
          <w:marRight w:val="0"/>
          <w:marTop w:val="0"/>
          <w:marBottom w:val="0"/>
          <w:divBdr>
            <w:top w:val="none" w:sz="0" w:space="0" w:color="auto"/>
            <w:left w:val="none" w:sz="0" w:space="0" w:color="auto"/>
            <w:bottom w:val="none" w:sz="0" w:space="0" w:color="auto"/>
            <w:right w:val="none" w:sz="0" w:space="0" w:color="auto"/>
          </w:divBdr>
        </w:div>
        <w:div w:id="1949967084">
          <w:marLeft w:val="0"/>
          <w:marRight w:val="0"/>
          <w:marTop w:val="0"/>
          <w:marBottom w:val="0"/>
          <w:divBdr>
            <w:top w:val="none" w:sz="0" w:space="0" w:color="auto"/>
            <w:left w:val="none" w:sz="0" w:space="0" w:color="auto"/>
            <w:bottom w:val="none" w:sz="0" w:space="0" w:color="auto"/>
            <w:right w:val="none" w:sz="0" w:space="0" w:color="auto"/>
          </w:divBdr>
        </w:div>
        <w:div w:id="1438408316">
          <w:marLeft w:val="0"/>
          <w:marRight w:val="0"/>
          <w:marTop w:val="0"/>
          <w:marBottom w:val="0"/>
          <w:divBdr>
            <w:top w:val="none" w:sz="0" w:space="0" w:color="auto"/>
            <w:left w:val="none" w:sz="0" w:space="0" w:color="auto"/>
            <w:bottom w:val="none" w:sz="0" w:space="0" w:color="auto"/>
            <w:right w:val="none" w:sz="0" w:space="0" w:color="auto"/>
          </w:divBdr>
        </w:div>
        <w:div w:id="1477070680">
          <w:marLeft w:val="0"/>
          <w:marRight w:val="0"/>
          <w:marTop w:val="0"/>
          <w:marBottom w:val="0"/>
          <w:divBdr>
            <w:top w:val="none" w:sz="0" w:space="0" w:color="auto"/>
            <w:left w:val="none" w:sz="0" w:space="0" w:color="auto"/>
            <w:bottom w:val="none" w:sz="0" w:space="0" w:color="auto"/>
            <w:right w:val="none" w:sz="0" w:space="0" w:color="auto"/>
          </w:divBdr>
        </w:div>
        <w:div w:id="1994525205">
          <w:marLeft w:val="0"/>
          <w:marRight w:val="0"/>
          <w:marTop w:val="0"/>
          <w:marBottom w:val="0"/>
          <w:divBdr>
            <w:top w:val="none" w:sz="0" w:space="0" w:color="auto"/>
            <w:left w:val="none" w:sz="0" w:space="0" w:color="auto"/>
            <w:bottom w:val="none" w:sz="0" w:space="0" w:color="auto"/>
            <w:right w:val="none" w:sz="0" w:space="0" w:color="auto"/>
          </w:divBdr>
        </w:div>
      </w:divsChild>
    </w:div>
    <w:div w:id="1778674539">
      <w:bodyDiv w:val="1"/>
      <w:marLeft w:val="0"/>
      <w:marRight w:val="0"/>
      <w:marTop w:val="0"/>
      <w:marBottom w:val="0"/>
      <w:divBdr>
        <w:top w:val="none" w:sz="0" w:space="0" w:color="auto"/>
        <w:left w:val="none" w:sz="0" w:space="0" w:color="auto"/>
        <w:bottom w:val="none" w:sz="0" w:space="0" w:color="auto"/>
        <w:right w:val="none" w:sz="0" w:space="0" w:color="auto"/>
      </w:divBdr>
    </w:div>
    <w:div w:id="1885410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D:\CEMPRA%20Project\ND_SS_SR%20function%20workshop_121124\Salish%20Sucker_SR%20function%20documentation\Data_SS_Temperature_SysCapacity.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9525" cap="rnd">
              <a:solidFill>
                <a:schemeClr val="accent1"/>
              </a:solidFill>
              <a:round/>
            </a:ln>
            <a:effectLst/>
          </c:spPr>
          <c:marker>
            <c:symbol val="circle"/>
            <c:size val="5"/>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a:solidFill>
                  <a:schemeClr val="accent1"/>
                </a:solidFill>
                <a:round/>
              </a:ln>
              <a:effectLst/>
            </c:spPr>
          </c:marker>
          <c:xVal>
            <c:numRef>
              <c:f>FinalSR!$A$2:$A$13</c:f>
              <c:numCache>
                <c:formatCode>0.00</c:formatCode>
                <c:ptCount val="12"/>
                <c:pt idx="0">
                  <c:v>0</c:v>
                </c:pt>
                <c:pt idx="1">
                  <c:v>1</c:v>
                </c:pt>
                <c:pt idx="2">
                  <c:v>2</c:v>
                </c:pt>
                <c:pt idx="3">
                  <c:v>3</c:v>
                </c:pt>
                <c:pt idx="4">
                  <c:v>4</c:v>
                </c:pt>
                <c:pt idx="5">
                  <c:v>6</c:v>
                </c:pt>
                <c:pt idx="6">
                  <c:v>14</c:v>
                </c:pt>
                <c:pt idx="7">
                  <c:v>15.5</c:v>
                </c:pt>
                <c:pt idx="8">
                  <c:v>17</c:v>
                </c:pt>
                <c:pt idx="9">
                  <c:v>18</c:v>
                </c:pt>
                <c:pt idx="10">
                  <c:v>23</c:v>
                </c:pt>
                <c:pt idx="11">
                  <c:v>24</c:v>
                </c:pt>
              </c:numCache>
            </c:numRef>
          </c:xVal>
          <c:yVal>
            <c:numRef>
              <c:f>FinalSR!$B$2:$B$13</c:f>
              <c:numCache>
                <c:formatCode>0.00</c:formatCode>
                <c:ptCount val="12"/>
                <c:pt idx="0">
                  <c:v>0</c:v>
                </c:pt>
                <c:pt idx="1">
                  <c:v>0</c:v>
                </c:pt>
                <c:pt idx="2">
                  <c:v>0</c:v>
                </c:pt>
                <c:pt idx="3">
                  <c:v>0</c:v>
                </c:pt>
                <c:pt idx="4">
                  <c:v>0</c:v>
                </c:pt>
                <c:pt idx="5">
                  <c:v>0</c:v>
                </c:pt>
                <c:pt idx="6">
                  <c:v>100</c:v>
                </c:pt>
                <c:pt idx="7">
                  <c:v>100</c:v>
                </c:pt>
                <c:pt idx="8">
                  <c:v>100</c:v>
                </c:pt>
                <c:pt idx="9">
                  <c:v>100</c:v>
                </c:pt>
                <c:pt idx="10">
                  <c:v>0</c:v>
                </c:pt>
                <c:pt idx="11">
                  <c:v>0</c:v>
                </c:pt>
              </c:numCache>
            </c:numRef>
          </c:yVal>
          <c:smooth val="0"/>
          <c:extLst>
            <c:ext xmlns:c16="http://schemas.microsoft.com/office/drawing/2014/chart" uri="{C3380CC4-5D6E-409C-BE32-E72D297353CC}">
              <c16:uniqueId val="{00000000-0804-4E01-86AD-36BCC60E4222}"/>
            </c:ext>
          </c:extLst>
        </c:ser>
        <c:dLbls>
          <c:showLegendKey val="0"/>
          <c:showVal val="0"/>
          <c:showCatName val="0"/>
          <c:showSerName val="0"/>
          <c:showPercent val="0"/>
          <c:showBubbleSize val="0"/>
        </c:dLbls>
        <c:axId val="1532256528"/>
        <c:axId val="1532257008"/>
      </c:scatterChart>
      <c:valAx>
        <c:axId val="1532256528"/>
        <c:scaling>
          <c:orientation val="minMax"/>
          <c:max val="24"/>
          <c:min val="0"/>
        </c:scaling>
        <c:delete val="0"/>
        <c:axPos val="b"/>
        <c:majorGridlines>
          <c:spPr>
            <a:ln w="9525" cap="flat" cmpd="sng" algn="ctr">
              <a:solidFill>
                <a:schemeClr val="tx2">
                  <a:lumMod val="15000"/>
                  <a:lumOff val="85000"/>
                </a:schemeClr>
              </a:solidFill>
              <a:round/>
            </a:ln>
            <a:effectLst/>
          </c:spPr>
        </c:majorGridlines>
        <c:title>
          <c:tx>
            <c:rich>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n-CA"/>
                  <a:t>Temperature (</a:t>
                </a:r>
                <a:r>
                  <a:rPr lang="en-CA">
                    <a:latin typeface="Calibri" panose="020F0502020204030204" pitchFamily="34" charset="0"/>
                    <a:ea typeface="Calibri" panose="020F0502020204030204" pitchFamily="34" charset="0"/>
                    <a:cs typeface="Calibri" panose="020F0502020204030204" pitchFamily="34" charset="0"/>
                  </a:rPr>
                  <a:t>°</a:t>
                </a:r>
                <a:r>
                  <a:rPr lang="en-CA" sz="800" b="1" i="0" u="none" strike="noStrike" kern="1200" baseline="0">
                    <a:solidFill>
                      <a:srgbClr val="44546A"/>
                    </a:solidFill>
                  </a:rPr>
                  <a:t>C</a:t>
                </a:r>
                <a:r>
                  <a:rPr lang="en-CA"/>
                  <a:t>)</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en-US"/>
            </a:p>
          </c:txPr>
        </c:title>
        <c:numFmt formatCode="0.00" sourceLinked="1"/>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532257008"/>
        <c:crosses val="autoZero"/>
        <c:crossBetween val="midCat"/>
      </c:valAx>
      <c:valAx>
        <c:axId val="1532257008"/>
        <c:scaling>
          <c:orientation val="minMax"/>
          <c:max val="100"/>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n-CA"/>
                  <a:t>System Capacity (%)</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en-US"/>
            </a:p>
          </c:txPr>
        </c:title>
        <c:numFmt formatCode="0.00" sourceLinked="1"/>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532256528"/>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2">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9525" cap="rnd">
        <a:solidFill>
          <a:schemeClr val="phClr"/>
        </a:solidFill>
        <a:round/>
      </a:ln>
    </cs:spPr>
  </cs:dataPointLine>
  <cs:dataPointMarker>
    <cs:lnRef idx="0">
      <cs:styleClr val="auto"/>
    </cs:lnRef>
    <cs:fillRef idx="3">
      <cs:styleClr val="auto"/>
    </cs:fillRef>
    <cs:effectRef idx="2"/>
    <cs:fontRef idx="minor">
      <a:schemeClr val="tx2"/>
    </cs:fontRef>
    <cs:spPr>
      <a:ln w="9525">
        <a:solidFill>
          <a:schemeClr val="phClr"/>
        </a:solidFill>
        <a:round/>
      </a:ln>
    </cs:spPr>
  </cs:dataPointMarker>
  <cs:dataPointMarkerLayout symbol="circle" size="5"/>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9525" cap="rnd">
        <a:solidFill>
          <a:schemeClr val="phClr"/>
        </a:solidFill>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spPr>
      <a:ln>
        <a:solidFill>
          <a:schemeClr val="tx2">
            <a:lumMod val="40000"/>
            <a:lumOff val="60000"/>
          </a:schemeClr>
        </a:solidFill>
      </a:ln>
    </cs:spPr>
    <cs:defRPr sz="900" kern="1200"/>
  </cs:valueAxis>
  <cs:wall>
    <cs:lnRef idx="0"/>
    <cs:fillRef idx="0"/>
    <cs:effectRef idx="0"/>
    <cs:fontRef idx="minor">
      <a:schemeClr val="tx2"/>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BB8F68-FE67-4EA3-99A5-DF8200E495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4142</TotalTime>
  <Pages>7</Pages>
  <Words>2383</Words>
  <Characters>13584</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Tekatch</dc:creator>
  <cp:keywords/>
  <dc:description/>
  <cp:lastModifiedBy>Mohamed Usoof, Anas</cp:lastModifiedBy>
  <cp:revision>13</cp:revision>
  <dcterms:created xsi:type="dcterms:W3CDTF">2024-11-08T17:27:00Z</dcterms:created>
  <dcterms:modified xsi:type="dcterms:W3CDTF">2024-11-28T22:47:00Z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http://www.zotero.org/styles/canadian-journal-of-fisheries-and-aquatic-sciences</vt:lpwstr>
  </property>
  <property fmtid="{D5CDD505-2E9C-101B-9397-08002B2CF9AE}" pid="9" name="Mendeley Recent Style Name 3_1">
    <vt:lpwstr>Canadian Journal of Fisheries and Aquatic Sciences</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http://www.zotero.org/styles/ecology</vt:lpwstr>
  </property>
  <property fmtid="{D5CDD505-2E9C-101B-9397-08002B2CF9AE}" pid="15" name="Mendeley Recent Style Name 6_1">
    <vt:lpwstr>Ecology</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d5e9f445-463c-3879-bd3d-643ac044457e</vt:lpwstr>
  </property>
  <property fmtid="{D5CDD505-2E9C-101B-9397-08002B2CF9AE}" pid="24" name="Mendeley Citation Style_1">
    <vt:lpwstr>http://www.zotero.org/styles/ecology</vt:lpwstr>
  </property>
</Properties>
</file>